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numbering.xml" ContentType="application/vnd.openxmlformats-officedocument.wordprocessingml.numbering+xml"/>
  <Override PartName="/word/media/image1.wmf" ContentType="image/x-wmf"/>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Times New Roman" w:hAnsi="Times New Roman" w:cs="Times New Roman"/>
        </w:rPr>
      </w:pPr>
      <w:r>
        <w:rPr>
          <w:rFonts w:cs="Times New Roman" w:ascii="Times New Roman" w:hAnsi="Times New Roman"/>
        </w:rPr>
      </w:r>
    </w:p>
    <w:p>
      <w:pPr>
        <w:pStyle w:val="Normal"/>
        <w:jc w:val="center"/>
        <w:rPr>
          <w:rFonts w:ascii="Calibri" w:hAnsi="Calibri" w:cs="Calibri"/>
          <w:b/>
          <w:bCs/>
          <w:color w:val="000000"/>
        </w:rPr>
      </w:pPr>
      <w:r>
        <w:rPr>
          <w:rFonts w:cs="Calibri" w:ascii="Calibri" w:hAnsi="Calibri"/>
          <w:b/>
          <w:bCs/>
          <w:color w:val="000000"/>
        </w:rPr>
      </w:r>
    </w:p>
    <w:p>
      <w:pPr>
        <w:pStyle w:val="Normal"/>
        <w:jc w:val="center"/>
        <w:rPr>
          <w:rFonts w:ascii="Calibri" w:hAnsi="Calibri" w:cs="Calibri"/>
          <w:b/>
          <w:bCs/>
          <w:color w:val="000000"/>
        </w:rPr>
      </w:pPr>
      <w:r>
        <w:rPr>
          <w:rFonts w:cs="Calibri" w:ascii="Calibri" w:hAnsi="Calibri"/>
          <w:b/>
          <w:bCs/>
          <w:color w:val="000000"/>
        </w:rPr>
        <w:drawing>
          <wp:anchor behindDoc="0" distT="0" distB="0" distL="114935" distR="114935" simplePos="0" locked="0" layoutInCell="0" allowOverlap="1" relativeHeight="3">
            <wp:simplePos x="0" y="0"/>
            <wp:positionH relativeFrom="column">
              <wp:posOffset>2657475</wp:posOffset>
            </wp:positionH>
            <wp:positionV relativeFrom="paragraph">
              <wp:posOffset>-488950</wp:posOffset>
            </wp:positionV>
            <wp:extent cx="736600" cy="804545"/>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2"/>
                    <a:srcRect l="-44" t="-40" r="-44" b="-40"/>
                    <a:stretch>
                      <a:fillRect/>
                    </a:stretch>
                  </pic:blipFill>
                  <pic:spPr bwMode="auto">
                    <a:xfrm>
                      <a:off x="0" y="0"/>
                      <a:ext cx="736600" cy="804545"/>
                    </a:xfrm>
                    <a:prstGeom prst="rect">
                      <a:avLst/>
                    </a:prstGeom>
                    <a:noFill/>
                  </pic:spPr>
                </pic:pic>
              </a:graphicData>
            </a:graphic>
          </wp:anchor>
        </w:drawing>
      </w:r>
    </w:p>
    <w:p>
      <w:pPr>
        <w:pStyle w:val="Normal"/>
        <w:jc w:val="center"/>
        <w:rPr>
          <w:rFonts w:ascii="Calibri" w:hAnsi="Calibri" w:cs="Calibri"/>
          <w:b/>
          <w:bCs/>
          <w:color w:val="000000"/>
        </w:rPr>
      </w:pPr>
      <w:r>
        <w:rPr>
          <w:rFonts w:cs="Calibri" w:ascii="Calibri" w:hAnsi="Calibri"/>
          <w:b/>
          <w:bCs/>
          <w:color w:val="000000"/>
        </w:rPr>
      </w:r>
    </w:p>
    <w:p>
      <w:pPr>
        <w:pStyle w:val="Normal"/>
        <w:jc w:val="center"/>
        <w:rPr>
          <w:rFonts w:ascii="Calibri" w:hAnsi="Calibri" w:cs="Calibri"/>
          <w:b/>
          <w:bCs/>
          <w:color w:val="000000"/>
        </w:rPr>
      </w:pPr>
      <w:r>
        <w:rPr>
          <w:rFonts w:cs="Calibri" w:ascii="Calibri" w:hAnsi="Calibri"/>
          <w:b/>
          <w:bCs/>
          <w:color w:val="000000"/>
        </w:rPr>
        <w:t>MINISTÉRIO DA DEFESA</w:t>
      </w:r>
    </w:p>
    <w:p>
      <w:pPr>
        <w:pStyle w:val="Normal"/>
        <w:jc w:val="center"/>
        <w:rPr>
          <w:rFonts w:ascii="Calibri" w:hAnsi="Calibri" w:cs="Calibri"/>
          <w:b/>
          <w:bCs/>
          <w:color w:val="000000"/>
        </w:rPr>
      </w:pPr>
      <w:r>
        <w:rPr>
          <w:rFonts w:cs="Calibri" w:ascii="Calibri" w:hAnsi="Calibri"/>
          <w:b/>
          <w:bCs/>
          <w:color w:val="000000"/>
        </w:rPr>
        <w:t>EXÉRCITO BRASILEIRO</w:t>
      </w:r>
    </w:p>
    <w:p>
      <w:pPr>
        <w:pStyle w:val="Normal"/>
        <w:jc w:val="center"/>
        <w:rPr>
          <w:rFonts w:ascii="Calibri" w:hAnsi="Calibri" w:cs="Calibri"/>
          <w:b/>
          <w:bCs/>
          <w:color w:val="000000"/>
        </w:rPr>
      </w:pPr>
      <w:r>
        <w:rPr>
          <w:rFonts w:cs="Calibri" w:ascii="Calibri" w:hAnsi="Calibri"/>
          <w:b/>
          <w:bCs/>
          <w:color w:val="000000"/>
        </w:rPr>
        <w:t>COLÉGIO MILITAR DE PORTO ALEGRE</w:t>
      </w:r>
    </w:p>
    <w:p>
      <w:pPr>
        <w:pStyle w:val="Normal"/>
        <w:jc w:val="center"/>
        <w:rPr>
          <w:rFonts w:ascii="Calibri" w:hAnsi="Calibri" w:cs="Calibri"/>
          <w:b/>
          <w:bCs/>
          <w:i/>
          <w:i/>
          <w:iCs/>
          <w:color w:val="000000"/>
        </w:rPr>
      </w:pPr>
      <w:r>
        <w:rPr>
          <w:rFonts w:cs="Calibri" w:ascii="Calibri" w:hAnsi="Calibri"/>
          <w:b/>
          <w:bCs/>
          <w:color w:val="000000"/>
        </w:rPr>
        <w:t>(CMPA/1912)</w:t>
      </w:r>
    </w:p>
    <w:p>
      <w:pPr>
        <w:pStyle w:val="Normal"/>
        <w:spacing w:lineRule="auto" w:line="276"/>
        <w:jc w:val="center"/>
        <w:rPr>
          <w:rFonts w:ascii="Calibri" w:hAnsi="Calibri" w:cs="Calibri"/>
          <w:b/>
          <w:bCs/>
          <w:i/>
          <w:i/>
          <w:iCs/>
          <w:color w:val="000000"/>
        </w:rPr>
      </w:pPr>
      <w:r>
        <w:rPr>
          <w:rFonts w:cs="Calibri" w:ascii="Calibri" w:hAnsi="Calibri"/>
          <w:b/>
          <w:bCs/>
          <w:i/>
          <w:iCs/>
          <w:color w:val="000000"/>
        </w:rPr>
        <w:t>COLÉGIO CASARÃO DA VÁRZEA</w:t>
      </w:r>
    </w:p>
    <w:p>
      <w:pPr>
        <w:pStyle w:val="Normal"/>
        <w:jc w:val="center"/>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rPr>
      </w:pPr>
      <w:r>
        <w:rPr>
          <w:rFonts w:cs="Times New Roman" w:ascii="Times New Roman" w:hAnsi="Times New Roman"/>
        </w:rPr>
      </w:r>
    </w:p>
    <w:p>
      <w:pPr>
        <w:pStyle w:val="Normal"/>
        <w:spacing w:lineRule="auto" w:line="312" w:before="0" w:after="288"/>
        <w:jc w:val="center"/>
        <w:rPr>
          <w:rFonts w:ascii="Arial" w:hAnsi="Arial" w:cs="Arial"/>
          <w:b/>
          <w:bCs/>
          <w:color w:themeColor="text1" w:val="000000"/>
          <w:sz w:val="20"/>
          <w:szCs w:val="20"/>
        </w:rPr>
      </w:pPr>
      <w:r>
        <w:rPr>
          <w:rFonts w:cs="Arial" w:ascii="Arial" w:hAnsi="Arial"/>
          <w:b/>
          <w:bCs/>
          <w:color w:themeColor="text1" w:val="000000"/>
          <w:sz w:val="20"/>
          <w:szCs w:val="20"/>
        </w:rPr>
        <w:t>DECLARAÇÃO DE CONFORMIDADE CMPA–CJU/RS</w:t>
      </w:r>
    </w:p>
    <w:p>
      <w:pPr>
        <w:pStyle w:val="Normal"/>
        <w:spacing w:lineRule="auto" w:line="276" w:before="0" w:after="288"/>
        <w:jc w:val="both"/>
        <w:rPr>
          <w:rFonts w:ascii="Calibri" w:hAnsi="Calibri"/>
        </w:rPr>
      </w:pPr>
      <w:r>
        <w:rPr>
          <w:rFonts w:cs="Arial" w:ascii="Calibri" w:hAnsi="Calibri"/>
          <w:color w:themeColor="text1" w:val="000000"/>
        </w:rPr>
        <w:tab/>
        <w:t>Declaramos que o planejamento da contratação foi realizado com a ciência e observância do Instrumento de Padronização dos Procedimentos de Contratação, conforme parceria técnica estabelecida entre a Advocacia-Geral da União (AGU) e o Ministério da Gestão e Inovação em Serviços Públicos (MGI).</w:t>
      </w:r>
    </w:p>
    <w:p>
      <w:pPr>
        <w:pStyle w:val="Normal"/>
        <w:spacing w:lineRule="auto" w:line="276"/>
        <w:jc w:val="both"/>
        <w:rPr>
          <w:rFonts w:ascii="Calibri" w:hAnsi="Calibri"/>
        </w:rPr>
      </w:pPr>
      <w:r>
        <w:rPr>
          <w:rFonts w:ascii="Calibri" w:hAnsi="Calibri"/>
        </w:rPr>
        <w:tab/>
        <w:t>Para fins de transparência e rastreabilidade das modificações, este Termo de Referência adota o padrão visual CMPA–CJU/RS, conforme segue:</w:t>
      </w:r>
    </w:p>
    <w:p>
      <w:pPr>
        <w:pStyle w:val="Normal"/>
        <w:spacing w:lineRule="auto" w:line="276"/>
        <w:jc w:val="both"/>
        <w:rPr>
          <w:rFonts w:ascii="Calibri" w:hAnsi="Calibri"/>
        </w:rPr>
      </w:pPr>
      <w:r>
        <w:rPr>
          <w:rFonts w:ascii="Calibri" w:hAnsi="Calibri"/>
        </w:rPr>
      </w:r>
    </w:p>
    <w:p>
      <w:pPr>
        <w:pStyle w:val="Normal"/>
        <w:spacing w:lineRule="auto" w:line="276"/>
        <w:jc w:val="both"/>
        <w:rPr>
          <w:rFonts w:ascii="Calibri" w:hAnsi="Calibri"/>
        </w:rPr>
      </w:pPr>
      <w:r>
        <w:rPr>
          <w:rFonts w:cs="Segoe UI Emoji" w:ascii="Calibri" w:hAnsi="Calibri"/>
        </w:rPr>
        <w:t>🔴</w:t>
      </w:r>
      <w:r>
        <w:rPr>
          <w:rFonts w:ascii="Calibri" w:hAnsi="Calibri"/>
        </w:rPr>
        <w:t xml:space="preserve"> </w:t>
      </w:r>
      <w:r>
        <w:rPr>
          <w:rFonts w:ascii="Calibri" w:hAnsi="Calibri"/>
        </w:rPr>
        <w:t>Inclusões – destacadas em vermelho.</w:t>
      </w:r>
    </w:p>
    <w:p>
      <w:pPr>
        <w:pStyle w:val="Normal"/>
        <w:spacing w:lineRule="auto" w:line="276"/>
        <w:jc w:val="both"/>
        <w:rPr>
          <w:rFonts w:ascii="Calibri" w:hAnsi="Calibri"/>
        </w:rPr>
      </w:pPr>
      <w:r>
        <w:rPr>
          <w:rFonts w:cs="Segoe UI Emoji" w:ascii="Calibri" w:hAnsi="Calibri"/>
        </w:rPr>
        <w:t>🟢</w:t>
      </w:r>
      <w:r>
        <w:rPr>
          <w:rFonts w:ascii="Calibri" w:hAnsi="Calibri"/>
        </w:rPr>
        <w:t xml:space="preserve"> </w:t>
      </w:r>
      <w:r>
        <w:rPr>
          <w:rFonts w:ascii="Calibri" w:hAnsi="Calibri"/>
        </w:rPr>
        <w:t>Ajustes e adequações de redação – destacados em verde.</w:t>
      </w:r>
    </w:p>
    <w:p>
      <w:pPr>
        <w:pStyle w:val="Normal"/>
        <w:spacing w:lineRule="auto" w:line="276"/>
        <w:jc w:val="both"/>
        <w:rPr>
          <w:rFonts w:ascii="Calibri" w:hAnsi="Calibri"/>
        </w:rPr>
      </w:pPr>
      <w:r>
        <w:rPr>
          <w:rFonts w:cs="Segoe UI Emoji" w:ascii="Calibri" w:hAnsi="Calibri"/>
        </w:rPr>
        <w:t>🔵</w:t>
      </w:r>
      <w:r>
        <w:rPr>
          <w:rFonts w:ascii="Calibri" w:hAnsi="Calibri"/>
        </w:rPr>
        <w:t xml:space="preserve"> </w:t>
      </w:r>
      <w:r>
        <w:rPr>
          <w:rFonts w:ascii="Calibri" w:hAnsi="Calibri"/>
        </w:rPr>
        <w:t>Preenchimentos de campos e dados padronizados – destacados em azul.</w:t>
      </w:r>
    </w:p>
    <w:p>
      <w:pPr>
        <w:pStyle w:val="Normal"/>
        <w:spacing w:lineRule="auto" w:line="276"/>
        <w:jc w:val="both"/>
        <w:rPr>
          <w:rFonts w:ascii="Calibri" w:hAnsi="Calibri"/>
        </w:rPr>
      </w:pPr>
      <w:r>
        <w:rPr>
          <w:rFonts w:ascii="Calibri" w:hAnsi="Calibri"/>
        </w:rPr>
        <w:t>Supressões – indicadas por tachado.</w:t>
      </w:r>
    </w:p>
    <w:p>
      <w:pPr>
        <w:pStyle w:val="Normal"/>
        <w:spacing w:lineRule="auto" w:line="276"/>
        <w:jc w:val="both"/>
        <w:rPr>
          <w:rFonts w:ascii="Calibri" w:hAnsi="Calibri"/>
        </w:rPr>
      </w:pPr>
      <w:r>
        <w:rPr>
          <w:rFonts w:cs="Segoe UI Emoji" w:ascii="Calibri" w:hAnsi="Calibri"/>
        </w:rPr>
        <w:t>⚫</w:t>
      </w:r>
      <w:r>
        <w:rPr>
          <w:rFonts w:ascii="Calibri" w:hAnsi="Calibri"/>
        </w:rPr>
        <w:t xml:space="preserve"> </w:t>
      </w:r>
      <w:r>
        <w:rPr>
          <w:rFonts w:ascii="Calibri" w:hAnsi="Calibri"/>
        </w:rPr>
        <w:t>Justificativas técnicas e normativas – transcritas logo abaixo de cada item, em letras da cor cinza.</w:t>
      </w:r>
    </w:p>
    <w:p>
      <w:pPr>
        <w:pStyle w:val="Normal"/>
        <w:spacing w:lineRule="auto" w:line="276" w:before="0" w:after="288"/>
        <w:jc w:val="both"/>
        <w:rPr>
          <w:rFonts w:ascii="Calibri" w:hAnsi="Calibri" w:cs="Arial"/>
          <w:color w:themeColor="text1" w:val="000000"/>
        </w:rPr>
      </w:pPr>
      <w:r>
        <w:rPr>
          <w:rFonts w:cs="Arial" w:ascii="Calibri" w:hAnsi="Calibri"/>
          <w:color w:themeColor="text1" w:val="000000"/>
        </w:rPr>
      </w:r>
    </w:p>
    <w:p>
      <w:pPr>
        <w:pStyle w:val="Normal"/>
        <w:spacing w:lineRule="auto" w:line="276" w:before="0" w:after="288"/>
        <w:jc w:val="both"/>
        <w:rPr>
          <w:rFonts w:ascii="Calibri" w:hAnsi="Calibri" w:cs="Arial"/>
          <w:color w:themeColor="text1" w:val="000000"/>
        </w:rPr>
      </w:pPr>
      <w:r>
        <w:rPr>
          <w:rFonts w:cs="Arial" w:ascii="Calibri" w:hAnsi="Calibri"/>
          <w:color w:themeColor="text1" w:val="000000"/>
        </w:rPr>
        <w:tab/>
        <w:t>O presente documento foi elaborado conforme o modelo oficial aprovado pela Câmara Nacional de Modelos de Licitações e Contratos da Consultoria-Geral da União, constante do:</w:t>
      </w:r>
    </w:p>
    <w:p>
      <w:pPr>
        <w:pStyle w:val="Normal"/>
        <w:spacing w:lineRule="auto" w:line="276" w:before="0" w:after="288"/>
        <w:jc w:val="both"/>
        <w:rPr>
          <w:rFonts w:ascii="Calibri" w:hAnsi="Calibri"/>
        </w:rPr>
      </w:pPr>
      <w:r>
        <w:rPr>
          <w:rFonts w:cs="Arial" w:ascii="Calibri" w:hAnsi="Calibri"/>
          <w:color w:themeColor="text1" w:val="000000"/>
        </w:rPr>
        <w:tab/>
        <w:t>Modelo de Termo de Contrato – Licitação e Contratação Direta – Serviços contínuos com regime de dedicação exclusiva de mão de obra – Lei nº 14.133/2021, Aprovado pela Secretaria de Gestão e Inovação (MGI), com identidade visual institucional da SGI/MGI e atualização de setembro de 2025.</w:t>
      </w:r>
    </w:p>
    <w:p>
      <w:pPr>
        <w:pStyle w:val="Normal"/>
        <w:jc w:val="center"/>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rPr>
      </w:pPr>
      <w:r>
        <w:rPr>
          <w:rFonts w:cs="Times New Roman" w:ascii="Times New Roman" w:hAnsi="Times New Roman"/>
        </w:rPr>
      </w:r>
    </w:p>
    <w:p>
      <w:pPr>
        <w:pStyle w:val="Normal"/>
        <w:jc w:val="center"/>
        <w:rPr>
          <w:rFonts w:ascii="Calibri" w:hAnsi="Calibri" w:cs="Calibri"/>
          <w:b/>
          <w:bCs/>
          <w:color w:val="000000"/>
        </w:rPr>
      </w:pPr>
      <w:r>
        <w:rPr>
          <w:rFonts w:cs="Calibri" w:ascii="Calibri" w:hAnsi="Calibri"/>
          <w:b/>
          <w:bCs/>
          <w:color w:val="000000"/>
        </w:rPr>
        <w:drawing>
          <wp:anchor behindDoc="0" distT="0" distB="0" distL="114935" distR="114935" simplePos="0" locked="0" layoutInCell="0" allowOverlap="1" relativeHeight="4">
            <wp:simplePos x="0" y="0"/>
            <wp:positionH relativeFrom="column">
              <wp:posOffset>2657475</wp:posOffset>
            </wp:positionH>
            <wp:positionV relativeFrom="paragraph">
              <wp:posOffset>-488950</wp:posOffset>
            </wp:positionV>
            <wp:extent cx="736600" cy="804545"/>
            <wp:effectExtent l="0" t="0" r="0" b="0"/>
            <wp:wrapSquare wrapText="bothSides"/>
            <wp:docPr id="2" name="Figura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Copia 1"/>
                    <pic:cNvPicPr>
                      <a:picLocks noChangeAspect="1" noChangeArrowheads="1"/>
                    </pic:cNvPicPr>
                  </pic:nvPicPr>
                  <pic:blipFill>
                    <a:blip r:embed="rId3"/>
                    <a:srcRect l="-44" t="-40" r="-44" b="-40"/>
                    <a:stretch>
                      <a:fillRect/>
                    </a:stretch>
                  </pic:blipFill>
                  <pic:spPr bwMode="auto">
                    <a:xfrm>
                      <a:off x="0" y="0"/>
                      <a:ext cx="736600" cy="804545"/>
                    </a:xfrm>
                    <a:prstGeom prst="rect">
                      <a:avLst/>
                    </a:prstGeom>
                    <a:noFill/>
                  </pic:spPr>
                </pic:pic>
              </a:graphicData>
            </a:graphic>
          </wp:anchor>
        </w:drawing>
      </w:r>
    </w:p>
    <w:p>
      <w:pPr>
        <w:pStyle w:val="Normal"/>
        <w:jc w:val="center"/>
        <w:rPr>
          <w:rFonts w:ascii="Calibri" w:hAnsi="Calibri" w:cs="Calibri"/>
          <w:b/>
          <w:bCs/>
          <w:color w:val="000000"/>
        </w:rPr>
      </w:pPr>
      <w:r>
        <w:rPr>
          <w:rFonts w:cs="Calibri" w:ascii="Calibri" w:hAnsi="Calibri"/>
          <w:b/>
          <w:bCs/>
          <w:color w:val="000000"/>
        </w:rPr>
      </w:r>
    </w:p>
    <w:p>
      <w:pPr>
        <w:pStyle w:val="Normal"/>
        <w:jc w:val="center"/>
        <w:rPr>
          <w:rFonts w:ascii="Calibri" w:hAnsi="Calibri" w:cs="Calibri"/>
          <w:b/>
          <w:bCs/>
          <w:color w:val="000000"/>
        </w:rPr>
      </w:pPr>
      <w:r>
        <w:rPr>
          <w:rFonts w:cs="Calibri" w:ascii="Calibri" w:hAnsi="Calibri"/>
          <w:b/>
          <w:bCs/>
          <w:color w:val="000000"/>
        </w:rPr>
        <w:t>MINISTÉRIO DA DEFESA</w:t>
      </w:r>
    </w:p>
    <w:p>
      <w:pPr>
        <w:pStyle w:val="Normal"/>
        <w:jc w:val="center"/>
        <w:rPr>
          <w:rFonts w:ascii="Calibri" w:hAnsi="Calibri" w:cs="Calibri"/>
          <w:b/>
          <w:bCs/>
          <w:color w:val="000000"/>
        </w:rPr>
      </w:pPr>
      <w:r>
        <w:rPr>
          <w:rFonts w:cs="Calibri" w:ascii="Calibri" w:hAnsi="Calibri"/>
          <w:b/>
          <w:bCs/>
          <w:color w:val="000000"/>
        </w:rPr>
        <w:t>EXÉRCITO BRASILEIRO</w:t>
      </w:r>
    </w:p>
    <w:p>
      <w:pPr>
        <w:pStyle w:val="Normal"/>
        <w:jc w:val="center"/>
        <w:rPr>
          <w:rFonts w:ascii="Calibri" w:hAnsi="Calibri" w:cs="Calibri"/>
          <w:b/>
          <w:bCs/>
          <w:color w:val="000000"/>
        </w:rPr>
      </w:pPr>
      <w:r>
        <w:rPr>
          <w:rFonts w:cs="Calibri" w:ascii="Calibri" w:hAnsi="Calibri"/>
          <w:b/>
          <w:bCs/>
          <w:color w:val="000000"/>
        </w:rPr>
        <w:t>COLÉGIO MILITAR DE PORTO ALEGRE</w:t>
      </w:r>
    </w:p>
    <w:p>
      <w:pPr>
        <w:pStyle w:val="Normal"/>
        <w:jc w:val="center"/>
        <w:rPr>
          <w:rFonts w:ascii="Calibri" w:hAnsi="Calibri" w:cs="Calibri"/>
          <w:b/>
          <w:bCs/>
          <w:i/>
          <w:i/>
          <w:iCs/>
          <w:color w:val="000000"/>
        </w:rPr>
      </w:pPr>
      <w:r>
        <w:rPr>
          <w:rFonts w:cs="Calibri" w:ascii="Calibri" w:hAnsi="Calibri"/>
          <w:b/>
          <w:bCs/>
          <w:color w:val="000000"/>
        </w:rPr>
        <w:t>(CMPA/1912)</w:t>
      </w:r>
    </w:p>
    <w:p>
      <w:pPr>
        <w:pStyle w:val="Normal"/>
        <w:spacing w:lineRule="auto" w:line="276"/>
        <w:jc w:val="center"/>
        <w:rPr>
          <w:b/>
          <w:bCs/>
        </w:rPr>
      </w:pPr>
      <w:r>
        <w:rPr>
          <w:rFonts w:cs="Calibri" w:ascii="Calibri" w:hAnsi="Calibri"/>
          <w:b/>
          <w:bCs/>
          <w:i/>
          <w:iCs/>
          <w:color w:val="000000"/>
        </w:rPr>
        <w:t>COLÉGIO CASARÃO DA VÁRZEA</w:t>
      </w:r>
    </w:p>
    <w:p>
      <w:pPr>
        <w:pStyle w:val="Normal"/>
        <w:jc w:val="center"/>
        <w:rPr>
          <w:rFonts w:ascii="Times New Roman" w:hAnsi="Times New Roman" w:cs="Times New Roman"/>
        </w:rPr>
      </w:pPr>
      <w:r>
        <w:rPr>
          <w:rFonts w:cs="Times New Roman" w:ascii="Times New Roman" w:hAnsi="Times New Roman"/>
        </w:rPr>
      </w:r>
    </w:p>
    <w:p>
      <w:pPr>
        <w:pStyle w:val="Normal"/>
        <w:jc w:val="center"/>
        <w:rPr>
          <w:rFonts w:ascii="Times New Roman" w:hAnsi="Times New Roman" w:cs="Times New Roman"/>
        </w:rPr>
      </w:pPr>
      <w:r>
        <w:rPr>
          <w:rFonts w:cs="Times New Roman" w:ascii="Times New Roman" w:hAnsi="Times New Roman"/>
          <w:b/>
        </w:rPr>
        <w:t>TERMO DE CONTRATO Nº ....../2025</w:t>
      </w:r>
    </w:p>
    <w:p>
      <w:pPr>
        <w:pStyle w:val="Normal"/>
        <w:jc w:val="center"/>
        <w:rPr>
          <w:rFonts w:ascii="Times New Roman" w:hAnsi="Times New Roman" w:cs="Times New Roman"/>
          <w:b/>
        </w:rPr>
      </w:pPr>
      <w:r>
        <w:rPr>
          <w:rFonts w:cs="Times New Roman" w:ascii="Times New Roman" w:hAnsi="Times New Roman"/>
          <w:b/>
        </w:rPr>
        <w:t xml:space="preserve">Processo </w:t>
      </w:r>
      <w:r>
        <w:rPr>
          <w:rFonts w:cs="Times New Roman" w:ascii="Times New Roman" w:hAnsi="Times New Roman"/>
          <w:b/>
          <w:color w:val="000000"/>
        </w:rPr>
        <w:t>64256.006919/2025-54</w:t>
      </w:r>
    </w:p>
    <w:sdt>
      <w:sdtPr>
        <w:docPartObj>
          <w:docPartGallery w:val="Table of Contents"/>
          <w:docPartUnique w:val="true"/>
        </w:docPartObj>
      </w:sdtPr>
      <w:sdtContent>
        <w:p>
          <w:pPr>
            <w:pStyle w:val="TOCHeading"/>
            <w:jc w:val="center"/>
            <w:rPr>
              <w:b/>
              <w:bCs/>
              <w:color w:val="auto"/>
            </w:rPr>
          </w:pPr>
          <w:r>
            <w:rPr>
              <w:b/>
              <w:bCs/>
              <w:color w:val="auto"/>
            </w:rPr>
            <w:t>SUMÁRIO</w:t>
          </w:r>
        </w:p>
        <w:p>
          <w:pPr>
            <w:pStyle w:val="TOC1"/>
            <w:tabs>
              <w:tab w:val="clear" w:pos="567"/>
              <w:tab w:val="clear" w:pos="9061"/>
              <w:tab w:val="right" w:pos="9637" w:leader="dot"/>
            </w:tabs>
            <w:rPr/>
          </w:pPr>
          <w:r>
            <w:fldChar w:fldCharType="begin"/>
          </w:r>
          <w:r>
            <w:rPr>
              <w:rStyle w:val="Vnculodendice"/>
              <w:vanish w:val="false"/>
            </w:rPr>
            <w:instrText xml:space="preserve"> TOC \z \o "1-3" \u \h</w:instrText>
          </w:r>
          <w:r>
            <w:rPr>
              <w:rStyle w:val="Vnculodendice"/>
              <w:vanish w:val="false"/>
            </w:rPr>
            <w:fldChar w:fldCharType="separate"/>
          </w:r>
          <w:r>
            <w:rPr>
              <w:rStyle w:val="Vnculodendice"/>
              <w:vanish w:val="false"/>
            </w:rPr>
            <w:t>1. CLÁUSULA PRIMEIRA – OBJETO</w:t>
          </w:r>
          <w:r>
            <w:rPr>
              <w:vanish w:val="false"/>
            </w:rPr>
            <w:tab/>
            <w:t>3</w:t>
          </w:r>
        </w:p>
        <w:p>
          <w:pPr>
            <w:pStyle w:val="TOC1"/>
            <w:tabs>
              <w:tab w:val="clear" w:pos="567"/>
              <w:tab w:val="clear" w:pos="9061"/>
              <w:tab w:val="right" w:pos="9637" w:leader="dot"/>
            </w:tabs>
            <w:rPr/>
          </w:pPr>
          <w:r>
            <w:rPr>
              <w:vanish w:val="false"/>
            </w:rPr>
            <w:t>2. CLÁUSULA SEGUNDA – VIGÊNCIA E PRORROGAÇÃO</w:t>
            <w:tab/>
            <w:t>5</w:t>
          </w:r>
        </w:p>
        <w:p>
          <w:pPr>
            <w:pStyle w:val="TOC1"/>
            <w:tabs>
              <w:tab w:val="clear" w:pos="567"/>
              <w:tab w:val="clear" w:pos="9061"/>
              <w:tab w:val="right" w:pos="9637" w:leader="dot"/>
            </w:tabs>
            <w:rPr/>
          </w:pPr>
          <w:r>
            <w:rPr>
              <w:vanish w:val="false"/>
            </w:rPr>
            <w:t>3. CLÁUSULA TERCEIRA – MODELOS DE EXECUÇÃO E GESTÃO CONTRATUAIS</w:t>
            <w:tab/>
            <w:t>6</w:t>
          </w:r>
        </w:p>
        <w:p>
          <w:pPr>
            <w:pStyle w:val="TOC1"/>
            <w:tabs>
              <w:tab w:val="clear" w:pos="567"/>
              <w:tab w:val="clear" w:pos="9061"/>
              <w:tab w:val="right" w:pos="9637" w:leader="dot"/>
            </w:tabs>
            <w:rPr/>
          </w:pPr>
          <w:r>
            <w:rPr>
              <w:vanish w:val="false"/>
            </w:rPr>
            <w:t>4. CLÁUSULA QUARTA – SUBCONTRATAÇÃO</w:t>
            <w:tab/>
            <w:t>6</w:t>
          </w:r>
        </w:p>
        <w:p>
          <w:pPr>
            <w:pStyle w:val="TOC1"/>
            <w:tabs>
              <w:tab w:val="clear" w:pos="567"/>
              <w:tab w:val="clear" w:pos="9061"/>
              <w:tab w:val="right" w:pos="9637" w:leader="dot"/>
            </w:tabs>
            <w:rPr/>
          </w:pPr>
          <w:r>
            <w:rPr>
              <w:vanish w:val="false"/>
            </w:rPr>
            <w:t>5. CLÁUSULA QUINTA – PREÇO</w:t>
            <w:tab/>
            <w:t>6</w:t>
          </w:r>
        </w:p>
        <w:p>
          <w:pPr>
            <w:pStyle w:val="TOC1"/>
            <w:tabs>
              <w:tab w:val="clear" w:pos="567"/>
              <w:tab w:val="clear" w:pos="9061"/>
              <w:tab w:val="right" w:pos="9637" w:leader="dot"/>
            </w:tabs>
            <w:rPr/>
          </w:pPr>
          <w:r>
            <w:rPr>
              <w:vanish w:val="false"/>
            </w:rPr>
            <w:t>6. CLÁUSULA SEXTA - PAGAMENTO</w:t>
            <w:tab/>
            <w:t>7</w:t>
          </w:r>
        </w:p>
        <w:p>
          <w:pPr>
            <w:pStyle w:val="TOC1"/>
            <w:tabs>
              <w:tab w:val="clear" w:pos="567"/>
              <w:tab w:val="clear" w:pos="9061"/>
              <w:tab w:val="right" w:pos="9637" w:leader="dot"/>
            </w:tabs>
            <w:rPr/>
          </w:pPr>
          <w:r>
            <w:rPr>
              <w:vanish w:val="false"/>
            </w:rPr>
            <w:t>7. CLÁUSULA SÉTIMA - REPACTUAÇÃO DOS PREÇOS CONTRATADOS</w:t>
            <w:tab/>
            <w:t>7</w:t>
          </w:r>
        </w:p>
        <w:p>
          <w:pPr>
            <w:pStyle w:val="TOC1"/>
            <w:tabs>
              <w:tab w:val="clear" w:pos="567"/>
              <w:tab w:val="clear" w:pos="9061"/>
              <w:tab w:val="right" w:pos="9637" w:leader="dot"/>
            </w:tabs>
            <w:rPr/>
          </w:pPr>
          <w:r>
            <w:rPr>
              <w:vanish w:val="false"/>
            </w:rPr>
            <w:t>8. CLÁUSULA OITAVA - OBRIGAÇÕES DO CONTRATANTE</w:t>
            <w:tab/>
            <w:t>7</w:t>
          </w:r>
        </w:p>
        <w:p>
          <w:pPr>
            <w:pStyle w:val="TOC1"/>
            <w:tabs>
              <w:tab w:val="clear" w:pos="567"/>
              <w:tab w:val="clear" w:pos="9061"/>
              <w:tab w:val="right" w:pos="9637" w:leader="dot"/>
            </w:tabs>
            <w:rPr/>
          </w:pPr>
          <w:r>
            <w:rPr>
              <w:vanish w:val="false"/>
            </w:rPr>
            <w:t>9. CLÁUSULA NONA - OBRIGAÇÕES DO CONTRATADO</w:t>
            <w:tab/>
            <w:t>8</w:t>
          </w:r>
        </w:p>
        <w:p>
          <w:pPr>
            <w:pStyle w:val="TOC1"/>
            <w:tabs>
              <w:tab w:val="clear" w:pos="567"/>
              <w:tab w:val="clear" w:pos="9061"/>
              <w:tab w:val="right" w:pos="9637" w:leader="dot"/>
            </w:tabs>
            <w:rPr/>
          </w:pPr>
          <w:r>
            <w:rPr>
              <w:vanish w:val="false"/>
            </w:rPr>
            <w:t>10. CLAÚSULA DÉCIMA - DA COMPENSAÇÃO DA JORNADA DE TRABALHO</w:t>
            <w:tab/>
            <w:t>13</w:t>
          </w:r>
        </w:p>
        <w:p>
          <w:pPr>
            <w:pStyle w:val="TOC1"/>
            <w:tabs>
              <w:tab w:val="clear" w:pos="567"/>
              <w:tab w:val="clear" w:pos="9061"/>
              <w:tab w:val="right" w:pos="9637" w:leader="dot"/>
            </w:tabs>
            <w:rPr/>
          </w:pPr>
          <w:r>
            <w:rPr>
              <w:vanish w:val="false"/>
            </w:rPr>
            <w:t>11. CLÁUSULA DÉCIMA PRIMEIRA- OBRIGAÇÕES PERTINENTES À LGPD</w:t>
            <w:tab/>
            <w:t>13</w:t>
          </w:r>
        </w:p>
        <w:p>
          <w:pPr>
            <w:pStyle w:val="TOC1"/>
            <w:tabs>
              <w:tab w:val="clear" w:pos="567"/>
              <w:tab w:val="clear" w:pos="9061"/>
              <w:tab w:val="right" w:pos="9637" w:leader="dot"/>
            </w:tabs>
            <w:rPr/>
          </w:pPr>
          <w:r>
            <w:rPr>
              <w:vanish w:val="false"/>
            </w:rPr>
            <w:t>12. CLÁUSULA DÉCIMA SEGUNDA – GARANTIA DE EXECUÇÃO</w:t>
            <w:tab/>
            <w:t>14</w:t>
          </w:r>
        </w:p>
        <w:p>
          <w:pPr>
            <w:pStyle w:val="TOC1"/>
            <w:tabs>
              <w:tab w:val="clear" w:pos="567"/>
              <w:tab w:val="clear" w:pos="9061"/>
              <w:tab w:val="right" w:pos="9637" w:leader="dot"/>
            </w:tabs>
            <w:rPr/>
          </w:pPr>
          <w:r>
            <w:rPr>
              <w:vanish w:val="false"/>
            </w:rPr>
            <w:t>13. CLÁUSULA DÉCIMA TERCEIRA – INFRAÇÕES E SANÇÕES ADMINISTRATIVAS</w:t>
            <w:tab/>
            <w:t>14</w:t>
          </w:r>
        </w:p>
        <w:p>
          <w:pPr>
            <w:pStyle w:val="TOC1"/>
            <w:tabs>
              <w:tab w:val="clear" w:pos="567"/>
              <w:tab w:val="clear" w:pos="9061"/>
              <w:tab w:val="right" w:pos="9637" w:leader="dot"/>
            </w:tabs>
            <w:rPr/>
          </w:pPr>
          <w:r>
            <w:rPr>
              <w:vanish w:val="false"/>
            </w:rPr>
            <w:t>14. CLÁUSULA DÉCIMA QUARTA – DA EXTINÇÃO CONTRATUAL</w:t>
            <w:tab/>
            <w:t>14</w:t>
          </w:r>
        </w:p>
        <w:p>
          <w:pPr>
            <w:pStyle w:val="TOC1"/>
            <w:tabs>
              <w:tab w:val="clear" w:pos="567"/>
              <w:tab w:val="clear" w:pos="9061"/>
              <w:tab w:val="right" w:pos="9637" w:leader="dot"/>
            </w:tabs>
            <w:rPr/>
          </w:pPr>
          <w:r>
            <w:rPr>
              <w:vanish w:val="false"/>
            </w:rPr>
            <w:t>15. CLÁUSULA DÉCIMA QUINTA – ALTERAÇÕES</w:t>
            <w:tab/>
            <w:t>16</w:t>
          </w:r>
        </w:p>
        <w:p>
          <w:pPr>
            <w:pStyle w:val="TOC1"/>
            <w:tabs>
              <w:tab w:val="clear" w:pos="567"/>
              <w:tab w:val="clear" w:pos="9061"/>
              <w:tab w:val="right" w:pos="9637" w:leader="dot"/>
            </w:tabs>
            <w:rPr/>
          </w:pPr>
          <w:r>
            <w:rPr>
              <w:vanish w:val="false"/>
            </w:rPr>
            <w:t>16. CLÁUSULA DÉCIMA SEXTA – DOTAÇÃO ORÇAMENTÁRIA</w:t>
            <w:tab/>
            <w:t>16</w:t>
          </w:r>
        </w:p>
        <w:p>
          <w:pPr>
            <w:pStyle w:val="TOC1"/>
            <w:tabs>
              <w:tab w:val="clear" w:pos="567"/>
              <w:tab w:val="clear" w:pos="9061"/>
              <w:tab w:val="right" w:pos="9637" w:leader="dot"/>
            </w:tabs>
            <w:rPr/>
          </w:pPr>
          <w:r>
            <w:rPr>
              <w:vanish w:val="false"/>
            </w:rPr>
            <w:t>17. CLÁUSULA DÉCIMA SÉTIMA – DOS CASOS OMISSOS</w:t>
            <w:tab/>
            <w:t>16</w:t>
          </w:r>
        </w:p>
        <w:p>
          <w:pPr>
            <w:pStyle w:val="TOC1"/>
            <w:tabs>
              <w:tab w:val="clear" w:pos="567"/>
              <w:tab w:val="clear" w:pos="9061"/>
              <w:tab w:val="right" w:pos="9637" w:leader="dot"/>
            </w:tabs>
            <w:rPr/>
          </w:pPr>
          <w:r>
            <w:rPr>
              <w:vanish w:val="false"/>
            </w:rPr>
            <w:t>18. CLÁUSULA DÉCIMA OITAVA – PUBLICAÇÃO</w:t>
            <w:tab/>
            <w:t>17</w:t>
          </w:r>
        </w:p>
        <w:p>
          <w:pPr>
            <w:pStyle w:val="TOC1"/>
            <w:tabs>
              <w:tab w:val="clear" w:pos="567"/>
              <w:tab w:val="clear" w:pos="9061"/>
              <w:tab w:val="right" w:pos="9637" w:leader="dot"/>
            </w:tabs>
            <w:rPr/>
          </w:pPr>
          <w:r>
            <w:rPr>
              <w:vanish w:val="false"/>
            </w:rPr>
            <w:t>19. CLÁUSULA DÉCIMA NONA– FORO</w:t>
            <w:tab/>
            <w:t>17</w:t>
          </w:r>
          <w:r>
            <w:rPr>
              <w:vanish w:val="false"/>
            </w:rPr>
            <w:fldChar w:fldCharType="end"/>
          </w:r>
        </w:p>
      </w:sdtContent>
    </w:sdt>
    <w:p>
      <w:pPr>
        <w:pStyle w:val="Normal"/>
        <w:jc w:val="center"/>
        <w:rPr/>
      </w:pPr>
      <w:r>
        <w:drawing>
          <wp:anchor behindDoc="0" distT="0" distB="0" distL="114300" distR="114300" simplePos="0" locked="0" layoutInCell="0" allowOverlap="1" relativeHeight="2">
            <wp:simplePos x="0" y="0"/>
            <wp:positionH relativeFrom="column">
              <wp:posOffset>2691130</wp:posOffset>
            </wp:positionH>
            <wp:positionV relativeFrom="paragraph">
              <wp:posOffset>62865</wp:posOffset>
            </wp:positionV>
            <wp:extent cx="737870" cy="805815"/>
            <wp:effectExtent l="0" t="0" r="0" b="0"/>
            <wp:wrapTopAndBottom/>
            <wp:docPr id="3"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4"/>
                    <pic:cNvPicPr>
                      <a:picLocks noChangeAspect="1" noChangeArrowheads="1"/>
                    </pic:cNvPicPr>
                  </pic:nvPicPr>
                  <pic:blipFill>
                    <a:blip r:embed="rId4"/>
                    <a:stretch>
                      <a:fillRect/>
                    </a:stretch>
                  </pic:blipFill>
                  <pic:spPr bwMode="auto">
                    <a:xfrm>
                      <a:off x="0" y="0"/>
                      <a:ext cx="737870" cy="805815"/>
                    </a:xfrm>
                    <a:prstGeom prst="rect">
                      <a:avLst/>
                    </a:prstGeom>
                    <a:noFill/>
                  </pic:spPr>
                </pic:pic>
              </a:graphicData>
            </a:graphic>
          </wp:anchor>
        </w:drawing>
      </w:r>
      <w:r>
        <w:rPr>
          <w:rFonts w:cs="Calibri" w:ascii="Calibri" w:hAnsi="Calibri"/>
          <w:b/>
          <w:bCs/>
          <w:color w:val="000000"/>
        </w:rPr>
        <w:t>MINISTÉRIO DA DEFESA</w:t>
      </w:r>
    </w:p>
    <w:p>
      <w:pPr>
        <w:pStyle w:val="Normal"/>
        <w:jc w:val="center"/>
        <w:rPr/>
      </w:pPr>
      <w:r>
        <w:rPr>
          <w:rFonts w:cs="Calibri" w:ascii="Calibri" w:hAnsi="Calibri"/>
          <w:b/>
          <w:bCs/>
          <w:color w:val="000000"/>
        </w:rPr>
        <w:t>EXÉRCITO BRASILEIRO</w:t>
      </w:r>
    </w:p>
    <w:p>
      <w:pPr>
        <w:pStyle w:val="Normal"/>
        <w:jc w:val="center"/>
        <w:rPr/>
      </w:pPr>
      <w:r>
        <w:rPr>
          <w:rFonts w:cs="Calibri" w:ascii="Calibri" w:hAnsi="Calibri"/>
          <w:b/>
          <w:bCs/>
          <w:color w:val="000000"/>
        </w:rPr>
        <w:t>COLÉGIO MILITAR DE PORTO ALEGRE</w:t>
      </w:r>
    </w:p>
    <w:p>
      <w:pPr>
        <w:pStyle w:val="Normal"/>
        <w:jc w:val="center"/>
        <w:rPr/>
      </w:pPr>
      <w:r>
        <w:rPr>
          <w:rFonts w:cs="Calibri" w:ascii="Calibri" w:hAnsi="Calibri"/>
          <w:b/>
          <w:bCs/>
          <w:color w:val="000000"/>
        </w:rPr>
        <w:t>(CMPA/1912)</w:t>
      </w:r>
    </w:p>
    <w:p>
      <w:pPr>
        <w:pStyle w:val="Normal"/>
        <w:spacing w:lineRule="auto" w:line="312" w:before="0" w:after="288"/>
        <w:jc w:val="center"/>
        <w:rPr>
          <w:rFonts w:ascii="Arial" w:hAnsi="Arial" w:cs="Arial"/>
          <w:b/>
          <w:bCs/>
          <w:color w:themeColor="text1" w:val="000000"/>
          <w:sz w:val="20"/>
          <w:szCs w:val="20"/>
        </w:rPr>
      </w:pPr>
      <w:r>
        <w:rPr>
          <w:rFonts w:cs="Calibri" w:ascii="Calibri" w:hAnsi="Calibri"/>
          <w:b/>
          <w:bCs/>
          <w:i/>
          <w:iCs/>
          <w:color w:val="000000"/>
        </w:rPr>
        <w:t>COLÉGIO CASARÃO DA VÁRZEA</w:t>
      </w:r>
    </w:p>
    <w:p>
      <w:pPr>
        <w:pStyle w:val="Normal"/>
        <w:spacing w:lineRule="auto" w:line="276"/>
        <w:ind w:right="-15"/>
        <w:jc w:val="center"/>
        <w:rPr>
          <w:rFonts w:ascii="Arial" w:hAnsi="Arial"/>
        </w:rPr>
      </w:pPr>
      <w:r>
        <w:rPr>
          <w:rFonts w:cs="Calibri" w:ascii="Arial" w:hAnsi="Arial"/>
          <w:b/>
        </w:rPr>
        <w:t xml:space="preserve">MINUTA DO TERMO DE CONTRATO  </w:t>
      </w:r>
      <w:r>
        <w:rPr>
          <w:rFonts w:cs="Times New Roman" w:ascii="Arial" w:hAnsi="Arial"/>
          <w:b/>
        </w:rPr>
        <w:t>– CMPA</w:t>
      </w:r>
    </w:p>
    <w:p>
      <w:pPr>
        <w:pStyle w:val="Normal"/>
        <w:spacing w:lineRule="auto" w:line="276"/>
        <w:ind w:right="113"/>
        <w:jc w:val="center"/>
        <w:rPr/>
      </w:pPr>
      <w:r>
        <w:rPr>
          <w:rFonts w:cs="Times New Roman" w:ascii="Times New Roman" w:hAnsi="Times New Roman"/>
          <w:b/>
        </w:rPr>
        <w:t xml:space="preserve">Processo </w:t>
      </w:r>
      <w:r>
        <w:rPr>
          <w:rFonts w:cs="Times New Roman" w:ascii="Times New Roman" w:hAnsi="Times New Roman"/>
          <w:b/>
          <w:color w:val="00B0F0"/>
        </w:rPr>
        <w:t>64256.006919/2025-54</w:t>
      </w:r>
    </w:p>
    <w:p>
      <w:pPr>
        <w:pStyle w:val="Normal"/>
        <w:spacing w:lineRule="auto" w:line="276" w:before="0" w:after="288"/>
        <w:jc w:val="center"/>
        <w:rPr>
          <w:rFonts w:ascii="Arial" w:hAnsi="Arial" w:cs="Arial"/>
          <w:b/>
          <w:bCs/>
          <w:color w:themeColor="text1" w:val="000000"/>
          <w:sz w:val="20"/>
          <w:szCs w:val="20"/>
        </w:rPr>
      </w:pPr>
      <w:r>
        <w:rPr>
          <w:rFonts w:cs="Arial" w:ascii="Arial" w:hAnsi="Arial"/>
          <w:b/>
          <w:bCs/>
          <w:color w:themeColor="text1" w:val="000000"/>
          <w:sz w:val="20"/>
          <w:szCs w:val="20"/>
        </w:rPr>
      </w:r>
    </w:p>
    <w:p>
      <w:pPr>
        <w:pStyle w:val="Prembulo"/>
        <w:spacing w:lineRule="auto" w:line="276" w:before="120" w:after="288"/>
        <w:rPr>
          <w:bCs w:val="false"/>
        </w:rPr>
      </w:pPr>
      <w:r>
        <w:rPr>
          <w:bCs w:val="false"/>
        </w:rPr>
        <w:t xml:space="preserve">CONTRATO ADMINISTRATIVO Nº </w:t>
      </w:r>
      <w:r>
        <w:rPr>
          <w:bCs w:val="false"/>
          <w:i/>
          <w:iCs/>
          <w:color w:val="FF0000"/>
        </w:rPr>
        <w:t>xx</w:t>
      </w:r>
      <w:r>
        <w:rPr>
          <w:bCs w:val="false"/>
        </w:rPr>
        <w:t>/</w:t>
      </w:r>
      <w:r>
        <w:rPr>
          <w:bCs w:val="false"/>
          <w:color w:val="00B0F0"/>
        </w:rPr>
        <w:t>2025</w:t>
      </w:r>
      <w:r>
        <w:rPr>
          <w:bCs w:val="false"/>
        </w:rPr>
        <w:t xml:space="preserve">, QUE FAZEM ENTRE SI A UNIÃO, POR INTERMÉDIO DO </w:t>
      </w:r>
      <w:r>
        <w:rPr>
          <w:rFonts w:cs="Calibri" w:ascii="Calibri" w:hAnsi="Calibri"/>
          <w:b/>
          <w:color w:val="00B0F0"/>
          <w:sz w:val="22"/>
          <w:szCs w:val="22"/>
        </w:rPr>
        <w:t xml:space="preserve">COLÉGIOMILITAR DE PORTO ALEGRE </w:t>
      </w:r>
      <w:r>
        <w:rPr>
          <w:bCs w:val="false"/>
        </w:rPr>
        <w:t xml:space="preserve">E .............................................................  </w:t>
      </w:r>
    </w:p>
    <w:p>
      <w:pPr>
        <w:pStyle w:val="Normal"/>
        <w:spacing w:lineRule="auto" w:line="276" w:before="120" w:after="120"/>
        <w:ind w:firstLine="1418"/>
        <w:jc w:val="both"/>
        <w:rPr/>
      </w:pPr>
      <w:r>
        <w:rPr>
          <w:rFonts w:ascii="Arial" w:hAnsi="Arial"/>
          <w:sz w:val="22"/>
          <w:szCs w:val="22"/>
        </w:rPr>
        <w:t xml:space="preserve">A </w:t>
      </w:r>
      <w:r>
        <w:rPr>
          <w:rFonts w:eastAsia="Arial" w:cs="Arial" w:ascii="Arial" w:hAnsi="Arial"/>
          <w:i/>
          <w:iCs/>
          <w:color w:val="FF0000"/>
          <w:sz w:val="22"/>
          <w:szCs w:val="22"/>
        </w:rPr>
        <w:t>União,</w:t>
      </w:r>
      <w:r>
        <w:rPr>
          <w:rFonts w:ascii="Arial" w:hAnsi="Arial"/>
          <w:i/>
          <w:color w:val="FF0000"/>
          <w:sz w:val="22"/>
          <w:szCs w:val="22"/>
        </w:rPr>
        <w:t xml:space="preserve"> </w:t>
      </w:r>
      <w:r>
        <w:rPr>
          <w:rFonts w:ascii="Arial" w:hAnsi="Arial"/>
          <w:sz w:val="22"/>
          <w:szCs w:val="22"/>
        </w:rPr>
        <w:t xml:space="preserve">por intermédio do </w:t>
      </w:r>
      <w:r>
        <w:rPr>
          <w:rFonts w:cs="Calibri" w:ascii="Arial" w:hAnsi="Arial"/>
          <w:iCs/>
          <w:color w:val="00B0F0"/>
          <w:sz w:val="22"/>
          <w:szCs w:val="22"/>
        </w:rPr>
        <w:t>Colégio Militar de Porto Alegre</w:t>
      </w:r>
      <w:r>
        <w:rPr>
          <w:rFonts w:eastAsia="Arial" w:cs="Arial" w:ascii="Arial" w:hAnsi="Arial"/>
          <w:color w:val="00B0F0"/>
          <w:sz w:val="22"/>
          <w:szCs w:val="22"/>
        </w:rPr>
        <w:t xml:space="preserve"> </w:t>
      </w:r>
      <w:r>
        <w:rPr>
          <w:rFonts w:eastAsia="Arial" w:cs="Arial" w:ascii="Arial" w:hAnsi="Arial"/>
          <w:sz w:val="22"/>
          <w:szCs w:val="22"/>
        </w:rPr>
        <w:t xml:space="preserve">, com sede na </w:t>
      </w:r>
      <w:r>
        <w:rPr>
          <w:rFonts w:cs="Calibri" w:ascii="Arial" w:hAnsi="Arial"/>
          <w:iCs/>
          <w:color w:val="00B0F0"/>
          <w:sz w:val="22"/>
          <w:szCs w:val="22"/>
        </w:rPr>
        <w:t>Avenida José Bonifácio, 363, bairro Farroupilha</w:t>
      </w:r>
      <w:r>
        <w:rPr>
          <w:rFonts w:cs="Calibri" w:ascii="Arial" w:hAnsi="Arial"/>
          <w:iCs/>
          <w:sz w:val="22"/>
          <w:szCs w:val="22"/>
        </w:rPr>
        <w:t>.</w:t>
      </w:r>
      <w:r>
        <w:rPr>
          <w:rFonts w:eastAsia="Arial" w:cs="Arial" w:ascii="Arial" w:hAnsi="Arial"/>
          <w:i/>
          <w:iCs/>
          <w:color w:val="FF0000"/>
          <w:sz w:val="22"/>
          <w:szCs w:val="22"/>
        </w:rPr>
        <w:t xml:space="preserve"> </w:t>
      </w:r>
      <w:r>
        <w:rPr>
          <w:rFonts w:eastAsia="Arial" w:cs="Arial" w:ascii="Arial" w:hAnsi="Arial"/>
          <w:sz w:val="22"/>
          <w:szCs w:val="22"/>
        </w:rPr>
        <w:t xml:space="preserve">na cidade de </w:t>
      </w:r>
      <w:r>
        <w:rPr>
          <w:rFonts w:cs="Calibri" w:ascii="Arial" w:hAnsi="Arial"/>
          <w:iCs/>
          <w:color w:val="00B0F0"/>
          <w:sz w:val="22"/>
          <w:szCs w:val="22"/>
        </w:rPr>
        <w:t>Porto Alegre/RS</w:t>
      </w:r>
      <w:r>
        <w:rPr>
          <w:rFonts w:eastAsia="Arial" w:cs="Arial" w:ascii="Arial" w:hAnsi="Arial"/>
          <w:sz w:val="22"/>
          <w:szCs w:val="22"/>
        </w:rPr>
        <w:t xml:space="preserve">, inscrito no CNPJ sob </w:t>
      </w:r>
      <w:r>
        <w:rPr>
          <w:rFonts w:eastAsia="Arial" w:cs="Arial" w:ascii="Arial" w:hAnsi="Arial"/>
          <w:color w:val="00B0F0"/>
          <w:sz w:val="22"/>
          <w:szCs w:val="22"/>
        </w:rPr>
        <w:t>o nº</w:t>
      </w:r>
      <w:r>
        <w:rPr>
          <w:rFonts w:cs="Calibri" w:ascii="Arial" w:hAnsi="Arial"/>
          <w:iCs/>
          <w:color w:val="00B0F0"/>
          <w:sz w:val="22"/>
          <w:szCs w:val="22"/>
        </w:rPr>
        <w:t xml:space="preserve"> 09.603.878/0001-96</w:t>
      </w:r>
      <w:r>
        <w:rPr>
          <w:rFonts w:eastAsia="Arial" w:cs="Arial" w:ascii="Arial" w:hAnsi="Arial"/>
          <w:color w:val="00B0F0"/>
          <w:sz w:val="22"/>
          <w:szCs w:val="22"/>
        </w:rPr>
        <w:t xml:space="preserve"> </w:t>
      </w:r>
      <w:r>
        <w:rPr>
          <w:rFonts w:eastAsia="Arial" w:cs="Arial" w:ascii="Arial" w:hAnsi="Arial"/>
          <w:sz w:val="22"/>
          <w:szCs w:val="22"/>
        </w:rPr>
        <w:t>, neste ato representado</w:t>
      </w:r>
      <w:r>
        <w:rPr>
          <w:rFonts w:cs="Calibri" w:ascii="Arial" w:hAnsi="Arial"/>
          <w:iCs/>
          <w:sz w:val="22"/>
          <w:szCs w:val="22"/>
        </w:rPr>
        <w:t xml:space="preserve"> pelo Ordenador de Despesas, Coronel FABIO GLADZIK</w:t>
      </w:r>
      <w:r>
        <w:rPr>
          <w:rFonts w:eastAsia="Arial" w:cs="Arial" w:ascii="Arial" w:hAnsi="Arial"/>
          <w:sz w:val="22"/>
          <w:szCs w:val="22"/>
        </w:rPr>
        <w:t xml:space="preserve">, nomeado pela Portaria nº </w:t>
      </w:r>
      <w:r>
        <w:rPr>
          <w:rFonts w:eastAsia="Arial" w:cs="Arial" w:ascii="Arial" w:hAnsi="Arial"/>
          <w:i/>
          <w:iCs/>
          <w:color w:val="00B0F0"/>
          <w:sz w:val="22"/>
          <w:szCs w:val="22"/>
        </w:rPr>
        <w:t>160, de 5 de março de 2021, do Comandante do Exército, publicada na pág. 11, Seção 2, do Diário Oficial da União nº 38, de 24 de fevereiro de 2023</w:t>
      </w:r>
      <w:r>
        <w:rPr>
          <w:rFonts w:eastAsia="Arial" w:cs="Arial" w:ascii="Arial" w:hAnsi="Arial"/>
          <w:color w:val="00B0F0"/>
          <w:sz w:val="22"/>
          <w:szCs w:val="22"/>
        </w:rPr>
        <w:t xml:space="preserve">, </w:t>
      </w:r>
      <w:r>
        <w:rPr>
          <w:rFonts w:eastAsia="Arial" w:cs="Arial" w:ascii="Arial" w:hAnsi="Arial"/>
          <w:sz w:val="22"/>
          <w:szCs w:val="22"/>
        </w:rPr>
        <w:t xml:space="preserve">portador da Matrícula Funcional nº </w:t>
      </w:r>
      <w:r>
        <w:rPr>
          <w:rFonts w:eastAsia="Arial" w:cs="Arial" w:ascii="Arial" w:hAnsi="Arial"/>
          <w:i/>
          <w:iCs/>
          <w:color w:val="FF0000"/>
          <w:sz w:val="22"/>
          <w:szCs w:val="22"/>
        </w:rPr>
        <w:t>[nº matrícula]</w:t>
      </w:r>
      <w:r>
        <w:rPr>
          <w:rFonts w:eastAsia="Arial" w:cs="Arial" w:ascii="Arial" w:hAnsi="Arial"/>
          <w:sz w:val="22"/>
          <w:szCs w:val="22"/>
        </w:rPr>
        <w:t xml:space="preserve">, doravante denominado CONTRATANTE, e o(a) </w:t>
      </w:r>
      <w:r>
        <w:rPr>
          <w:rFonts w:eastAsia="Arial" w:cs="Arial" w:ascii="Arial" w:hAnsi="Arial"/>
          <w:i/>
          <w:iCs/>
          <w:color w:val="FF0000"/>
          <w:sz w:val="22"/>
          <w:szCs w:val="22"/>
        </w:rPr>
        <w:t>[CONTRATADO]</w:t>
      </w:r>
      <w:r>
        <w:rPr>
          <w:rFonts w:eastAsia="Arial" w:cs="Arial" w:ascii="Arial" w:hAnsi="Arial"/>
          <w:color w:val="FF0000"/>
          <w:sz w:val="22"/>
          <w:szCs w:val="22"/>
        </w:rPr>
        <w:t>,</w:t>
      </w:r>
      <w:r>
        <w:rPr>
          <w:rFonts w:eastAsia="Arial" w:cs="Arial" w:ascii="Arial" w:hAnsi="Arial"/>
          <w:sz w:val="22"/>
          <w:szCs w:val="22"/>
        </w:rPr>
        <w:t xml:space="preserve"> </w:t>
      </w:r>
      <w:r>
        <w:rPr>
          <w:rFonts w:ascii="Arial" w:hAnsi="Arial"/>
          <w:sz w:val="22"/>
          <w:szCs w:val="22"/>
        </w:rPr>
        <w:t xml:space="preserve">inscrito(a) no CNPJ/MF sob o nº </w:t>
      </w:r>
      <w:r>
        <w:rPr>
          <w:rFonts w:eastAsia="Arial" w:cs="Arial" w:ascii="Arial" w:hAnsi="Arial"/>
          <w:i/>
          <w:iCs/>
          <w:color w:val="FF0000"/>
          <w:sz w:val="22"/>
          <w:szCs w:val="22"/>
        </w:rPr>
        <w:t xml:space="preserve">[CNPJ], </w:t>
      </w:r>
      <w:r>
        <w:rPr>
          <w:rFonts w:ascii="Arial" w:hAnsi="Arial"/>
          <w:sz w:val="22"/>
          <w:szCs w:val="22"/>
        </w:rPr>
        <w:t>sediado(a) na</w:t>
      </w:r>
      <w:r>
        <w:rPr>
          <w:rFonts w:eastAsia="Arial" w:cs="Arial" w:ascii="Arial" w:hAnsi="Arial"/>
          <w:sz w:val="22"/>
          <w:szCs w:val="22"/>
        </w:rPr>
        <w:t xml:space="preserve"> </w:t>
      </w:r>
      <w:r>
        <w:rPr>
          <w:rFonts w:eastAsia="Arial" w:cs="Arial" w:ascii="Arial" w:hAnsi="Arial"/>
          <w:i/>
          <w:iCs/>
          <w:color w:val="FF0000"/>
          <w:sz w:val="22"/>
          <w:szCs w:val="22"/>
        </w:rPr>
        <w:t>[endereço]</w:t>
      </w:r>
      <w:r>
        <w:rPr>
          <w:rFonts w:eastAsia="Arial" w:cs="Arial" w:ascii="Arial" w:hAnsi="Arial"/>
          <w:sz w:val="22"/>
          <w:szCs w:val="22"/>
        </w:rPr>
        <w:t xml:space="preserve">, na cidade de </w:t>
      </w:r>
      <w:r>
        <w:rPr>
          <w:rFonts w:eastAsia="Arial" w:cs="Arial" w:ascii="Arial" w:hAnsi="Arial"/>
          <w:i/>
          <w:iCs/>
          <w:color w:val="FF0000"/>
          <w:sz w:val="22"/>
          <w:szCs w:val="22"/>
        </w:rPr>
        <w:t>[cidade]</w:t>
      </w:r>
      <w:r>
        <w:rPr>
          <w:rFonts w:eastAsia="Arial" w:cs="Arial" w:ascii="Arial" w:hAnsi="Arial"/>
          <w:sz w:val="22"/>
          <w:szCs w:val="22"/>
        </w:rPr>
        <w:t>/</w:t>
      </w:r>
      <w:r>
        <w:rPr>
          <w:rFonts w:eastAsia="Arial" w:cs="Arial" w:ascii="Arial" w:hAnsi="Arial"/>
          <w:i/>
          <w:iCs/>
          <w:color w:val="FF0000"/>
          <w:sz w:val="22"/>
          <w:szCs w:val="22"/>
        </w:rPr>
        <w:t>[UF]</w:t>
      </w:r>
      <w:r>
        <w:rPr>
          <w:rFonts w:eastAsia="Arial" w:cs="Arial" w:ascii="Arial" w:hAnsi="Arial"/>
          <w:sz w:val="22"/>
          <w:szCs w:val="22"/>
        </w:rPr>
        <w:t xml:space="preserve">, doravante designado CONTRATADO, </w:t>
      </w:r>
      <w:r>
        <w:rPr>
          <w:rFonts w:ascii="Arial" w:hAnsi="Arial"/>
          <w:sz w:val="22"/>
          <w:szCs w:val="22"/>
        </w:rPr>
        <w:t xml:space="preserve">neste ato representado(a) por </w:t>
      </w:r>
      <w:r>
        <w:rPr>
          <w:rFonts w:eastAsia="Arial" w:cs="Arial" w:ascii="Arial" w:hAnsi="Arial"/>
          <w:i/>
          <w:iCs/>
          <w:color w:val="FF0000"/>
          <w:sz w:val="22"/>
          <w:szCs w:val="22"/>
        </w:rPr>
        <w:t>[</w:t>
      </w:r>
      <w:r>
        <w:rPr>
          <w:rFonts w:ascii="Arial" w:hAnsi="Arial"/>
          <w:i/>
          <w:color w:val="FF0000"/>
          <w:sz w:val="22"/>
          <w:szCs w:val="22"/>
        </w:rPr>
        <w:t>nome e função no CONTRATADO</w:t>
      </w:r>
      <w:r>
        <w:rPr>
          <w:rFonts w:eastAsia="Arial" w:cs="Arial" w:ascii="Arial" w:hAnsi="Arial"/>
          <w:i/>
          <w:iCs/>
          <w:color w:val="FF0000"/>
          <w:sz w:val="22"/>
          <w:szCs w:val="22"/>
        </w:rPr>
        <w:t>]</w:t>
      </w:r>
      <w:r>
        <w:rPr>
          <w:rFonts w:eastAsia="Arial" w:cs="Arial" w:ascii="Arial" w:hAnsi="Arial"/>
          <w:sz w:val="22"/>
          <w:szCs w:val="22"/>
        </w:rPr>
        <w:t xml:space="preserve">, </w:t>
      </w:r>
      <w:r>
        <w:rPr>
          <w:rFonts w:ascii="Arial" w:hAnsi="Arial"/>
          <w:sz w:val="22"/>
          <w:szCs w:val="22"/>
        </w:rPr>
        <w:t>conforme</w:t>
      </w:r>
      <w:r>
        <w:rPr>
          <w:rFonts w:ascii="Arial" w:hAnsi="Arial"/>
          <w:i/>
          <w:sz w:val="22"/>
          <w:szCs w:val="22"/>
        </w:rPr>
        <w:t xml:space="preserve"> </w:t>
      </w:r>
      <w:r>
        <w:rPr>
          <w:rFonts w:eastAsia="Arial" w:cs="Arial" w:ascii="Arial" w:hAnsi="Arial"/>
          <w:i/>
          <w:iCs/>
          <w:color w:val="FF0000"/>
          <w:sz w:val="22"/>
          <w:szCs w:val="22"/>
        </w:rPr>
        <w:t xml:space="preserve">[atos constitutivos da empresa] </w:t>
      </w:r>
      <w:r>
        <w:rPr>
          <w:rFonts w:eastAsia="Arial" w:cs="Arial" w:ascii="Arial" w:hAnsi="Arial"/>
          <w:b/>
          <w:bCs/>
          <w:i/>
          <w:iCs/>
          <w:color w:val="FF0000"/>
          <w:sz w:val="22"/>
          <w:szCs w:val="22"/>
        </w:rPr>
        <w:t>OU</w:t>
      </w:r>
      <w:r>
        <w:rPr>
          <w:rFonts w:eastAsia="Arial" w:cs="Arial" w:ascii="Arial" w:hAnsi="Arial"/>
          <w:i/>
          <w:iCs/>
          <w:color w:val="FF0000"/>
          <w:sz w:val="22"/>
          <w:szCs w:val="22"/>
        </w:rPr>
        <w:t xml:space="preserve"> [procuração apresentada nos autos], </w:t>
      </w:r>
      <w:r>
        <w:rPr>
          <w:rFonts w:eastAsia="Arial" w:cs="Arial" w:ascii="Arial" w:hAnsi="Arial"/>
          <w:sz w:val="22"/>
          <w:szCs w:val="22"/>
        </w:rPr>
        <w:t xml:space="preserve">tendo em vista o que consta no Processo nº </w:t>
      </w:r>
      <w:r>
        <w:rPr>
          <w:rFonts w:cs="Times New Roman" w:ascii="Arial" w:hAnsi="Arial"/>
          <w:b/>
          <w:color w:val="00B0F0"/>
          <w:sz w:val="22"/>
          <w:szCs w:val="22"/>
        </w:rPr>
        <w:t xml:space="preserve">64256.006919/2025-54 </w:t>
      </w:r>
      <w:r>
        <w:rPr>
          <w:rFonts w:eastAsia="Arial" w:cs="Arial" w:ascii="Arial" w:hAnsi="Arial"/>
          <w:sz w:val="22"/>
          <w:szCs w:val="22"/>
        </w:rPr>
        <w:t>e em observância às disposições da Lei nº 14.133, de 1º de abril de 2021, e demais legislação aplicável, resolvem celebrar o presente Termo de Contrato, decorrente do(a)</w:t>
      </w:r>
      <w:r>
        <w:rPr>
          <w:rFonts w:eastAsia="Arial" w:cs="Arial" w:ascii="Arial" w:hAnsi="Arial"/>
          <w:i/>
          <w:iCs/>
          <w:color w:val="FF0000"/>
          <w:sz w:val="22"/>
          <w:szCs w:val="22"/>
        </w:rPr>
        <w:t xml:space="preserve"> Pregão Eletrônic</w:t>
      </w:r>
      <w:r>
        <w:rPr>
          <w:rStyle w:val="normaltextrun"/>
          <w:rFonts w:cs="Arial" w:ascii="Arial" w:hAnsi="Arial"/>
          <w:i/>
          <w:iCs/>
          <w:color w:val="FF0000"/>
          <w:sz w:val="22"/>
          <w:szCs w:val="22"/>
        </w:rPr>
        <w:t>]</w:t>
      </w:r>
      <w:r>
        <w:rPr>
          <w:rFonts w:eastAsia="Arial" w:cs="Arial" w:ascii="Arial" w:hAnsi="Arial"/>
          <w:i/>
          <w:iCs/>
          <w:color w:val="FF0000"/>
          <w:sz w:val="22"/>
          <w:szCs w:val="22"/>
        </w:rPr>
        <w:t xml:space="preserve"> </w:t>
      </w:r>
      <w:r>
        <w:rPr>
          <w:rFonts w:eastAsia="Arial" w:cs="Arial" w:ascii="Arial" w:hAnsi="Arial"/>
          <w:sz w:val="22"/>
          <w:szCs w:val="22"/>
        </w:rPr>
        <w:t>nº</w:t>
      </w:r>
      <w:r>
        <w:rPr>
          <w:rFonts w:eastAsia="Arial" w:cs="Arial" w:ascii="Arial" w:hAnsi="Arial"/>
          <w:i/>
          <w:iCs/>
          <w:color w:val="FF0000"/>
          <w:sz w:val="22"/>
          <w:szCs w:val="22"/>
        </w:rPr>
        <w:t xml:space="preserve"> XX/</w:t>
      </w:r>
      <w:r>
        <w:rPr>
          <w:rFonts w:eastAsia="Arial" w:cs="Arial" w:ascii="Arial" w:hAnsi="Arial"/>
          <w:i/>
          <w:iCs/>
          <w:color w:val="00B0F0"/>
          <w:sz w:val="22"/>
          <w:szCs w:val="22"/>
        </w:rPr>
        <w:t>2025,</w:t>
      </w:r>
      <w:r>
        <w:rPr>
          <w:rFonts w:eastAsia="Arial" w:cs="Arial" w:ascii="Arial" w:hAnsi="Arial"/>
          <w:color w:val="00B0F0"/>
          <w:sz w:val="22"/>
          <w:szCs w:val="22"/>
        </w:rPr>
        <w:t xml:space="preserve"> </w:t>
      </w:r>
      <w:r>
        <w:rPr>
          <w:rFonts w:eastAsia="Arial" w:cs="Arial" w:ascii="Arial" w:hAnsi="Arial"/>
          <w:sz w:val="22"/>
          <w:szCs w:val="22"/>
        </w:rPr>
        <w:t>mediante as cláusulas e condições a seguir enunciadas.</w:t>
      </w:r>
    </w:p>
    <w:p>
      <w:pPr>
        <w:pStyle w:val="Nivel01"/>
        <w:numPr>
          <w:ilvl w:val="0"/>
          <w:numId w:val="1"/>
        </w:numPr>
        <w:ind w:hanging="360" w:left="0"/>
        <w:rPr/>
      </w:pPr>
      <w:bookmarkStart w:id="0" w:name="__RefHeading___Toc9152_61645898"/>
      <w:bookmarkStart w:id="1" w:name="_Toc212576767"/>
      <w:bookmarkEnd w:id="0"/>
      <w:r>
        <w:rPr/>
        <w:t>CLÁUSULA PRIMEIRA – OBJETO</w:t>
      </w:r>
      <w:bookmarkEnd w:id="1"/>
    </w:p>
    <w:p>
      <w:pPr>
        <w:pStyle w:val="Nivel2"/>
        <w:numPr>
          <w:ilvl w:val="1"/>
          <w:numId w:val="1"/>
        </w:numPr>
        <w:ind w:hanging="0" w:left="0"/>
        <w:rPr/>
      </w:pPr>
      <w:r>
        <w:rPr/>
        <w:t xml:space="preserve">O objeto do presente instrumento </w:t>
      </w:r>
      <w:r>
        <w:rPr>
          <w:b w:val="false"/>
          <w:bCs w:val="false"/>
          <w:shd w:fill="FFFFFF" w:val="clear"/>
        </w:rPr>
        <w:t xml:space="preserve">é a </w:t>
      </w:r>
      <w:r>
        <w:rPr>
          <w:b w:val="false"/>
          <w:bCs w:val="false"/>
          <w:shd w:fill="FFFFFF" w:val="clear"/>
        </w:rPr>
        <w:t>c</w:t>
      </w:r>
      <w:r>
        <w:rPr>
          <w:b w:val="false"/>
          <w:bCs w:val="false"/>
          <w:shd w:fill="FFFFFF" w:val="clear"/>
        </w:rPr>
        <w:t>ontratação de empresa especializada para a prestação de serviços contínuos de limpeza, conservação e higienização predial, com dedicação exclusiva de mão de obra, incluindo mão de obra, supervisão, insumos, equipamentos e materiais necessários à execução dos serviços, conforme especificações e condições estabelecidas no Termo de Referência e demais documentos do processo.</w:t>
      </w:r>
    </w:p>
    <w:p>
      <w:pPr>
        <w:pStyle w:val="Nivel2"/>
        <w:numPr>
          <w:ilvl w:val="1"/>
          <w:numId w:val="1"/>
        </w:numPr>
        <w:ind w:hanging="0" w:left="0"/>
        <w:rPr/>
      </w:pPr>
      <w:r>
        <w:rPr/>
        <w:t>Objeto da contratação:</w:t>
      </w:r>
    </w:p>
    <w:p>
      <w:pPr>
        <w:pStyle w:val="Nivel2"/>
        <w:numPr>
          <w:ilvl w:val="0"/>
          <w:numId w:val="0"/>
        </w:numPr>
        <w:ind w:hanging="0" w:left="0"/>
        <w:rPr/>
      </w:pPr>
      <w:r>
        <w:rPr/>
      </w:r>
    </w:p>
    <w:tbl>
      <w:tblPr>
        <w:tblW w:w="9464" w:type="dxa"/>
        <w:jc w:val="left"/>
        <w:tblInd w:w="226" w:type="dxa"/>
        <w:tblLayout w:type="fixed"/>
        <w:tblCellMar>
          <w:top w:w="0" w:type="dxa"/>
          <w:left w:w="108" w:type="dxa"/>
          <w:bottom w:w="0" w:type="dxa"/>
          <w:right w:w="108" w:type="dxa"/>
        </w:tblCellMar>
        <w:tblLook w:firstRow="1" w:noVBand="1" w:lastRow="0" w:firstColumn="1" w:lastColumn="0" w:noHBand="0" w:val="04a0"/>
      </w:tblPr>
      <w:tblGrid>
        <w:gridCol w:w="282"/>
        <w:gridCol w:w="706"/>
        <w:gridCol w:w="2381"/>
        <w:gridCol w:w="708"/>
        <w:gridCol w:w="738"/>
        <w:gridCol w:w="252"/>
        <w:gridCol w:w="1132"/>
        <w:gridCol w:w="855"/>
        <w:gridCol w:w="1134"/>
        <w:gridCol w:w="1276"/>
      </w:tblGrid>
      <w:tr>
        <w:trPr>
          <w:trHeight w:val="518" w:hRule="atLeast"/>
        </w:trPr>
        <w:tc>
          <w:tcPr>
            <w:tcW w:w="282" w:type="dxa"/>
            <w:vMerge w:val="restart"/>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t>GRUPO</w:t>
            </w:r>
          </w:p>
        </w:tc>
        <w:tc>
          <w:tcPr>
            <w:tcW w:w="706" w:type="dxa"/>
            <w:vMerge w:val="restart"/>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t>ITEM</w:t>
            </w:r>
          </w:p>
        </w:tc>
        <w:tc>
          <w:tcPr>
            <w:tcW w:w="2381" w:type="dxa"/>
            <w:vMerge w:val="restart"/>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t>DESCRIÇÃO/</w:t>
            </w:r>
          </w:p>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t>ESPECIFICAÇÃO</w:t>
            </w:r>
          </w:p>
        </w:tc>
        <w:tc>
          <w:tcPr>
            <w:tcW w:w="708" w:type="dxa"/>
            <w:vMerge w:val="restart"/>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t>UND MED</w:t>
            </w:r>
          </w:p>
        </w:tc>
        <w:tc>
          <w:tcPr>
            <w:tcW w:w="990" w:type="dxa"/>
            <w:gridSpan w:val="2"/>
            <w:vMerge w:val="restart"/>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t>QTD MENSAL</w:t>
            </w:r>
          </w:p>
        </w:tc>
        <w:tc>
          <w:tcPr>
            <w:tcW w:w="1132" w:type="dxa"/>
            <w:vMerge w:val="restart"/>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t>QTD ANUAL</w:t>
            </w:r>
          </w:p>
        </w:tc>
        <w:tc>
          <w:tcPr>
            <w:tcW w:w="855" w:type="dxa"/>
            <w:vMerge w:val="restart"/>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t>VALOR MÉDIO UNIT. R$/m²</w:t>
            </w:r>
          </w:p>
        </w:tc>
        <w:tc>
          <w:tcPr>
            <w:tcW w:w="2410" w:type="dxa"/>
            <w:gridSpan w:val="2"/>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t>VALOR DE REFERÊNCIA</w:t>
            </w:r>
          </w:p>
        </w:tc>
      </w:tr>
      <w:tr>
        <w:trPr>
          <w:trHeight w:val="517" w:hRule="atLeast"/>
        </w:trPr>
        <w:tc>
          <w:tcPr>
            <w:tcW w:w="282" w:type="dxa"/>
            <w:vMerge w:val="continue"/>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r>
          </w:p>
        </w:tc>
        <w:tc>
          <w:tcPr>
            <w:tcW w:w="706" w:type="dxa"/>
            <w:vMerge w:val="continue"/>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r>
          </w:p>
        </w:tc>
        <w:tc>
          <w:tcPr>
            <w:tcW w:w="2381" w:type="dxa"/>
            <w:vMerge w:val="continue"/>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r>
          </w:p>
        </w:tc>
        <w:tc>
          <w:tcPr>
            <w:tcW w:w="708" w:type="dxa"/>
            <w:vMerge w:val="continue"/>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r>
          </w:p>
        </w:tc>
        <w:tc>
          <w:tcPr>
            <w:tcW w:w="990" w:type="dxa"/>
            <w:gridSpan w:val="2"/>
            <w:vMerge w:val="continue"/>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r>
          </w:p>
        </w:tc>
        <w:tc>
          <w:tcPr>
            <w:tcW w:w="1132" w:type="dxa"/>
            <w:vMerge w:val="continue"/>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r>
          </w:p>
        </w:tc>
        <w:tc>
          <w:tcPr>
            <w:tcW w:w="855" w:type="dxa"/>
            <w:vMerge w:val="continue"/>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r>
          </w:p>
        </w:tc>
        <w:tc>
          <w:tcPr>
            <w:tcW w:w="1134" w:type="dxa"/>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t>MENSAL</w:t>
            </w:r>
          </w:p>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t>R$</w:t>
            </w:r>
          </w:p>
        </w:tc>
        <w:tc>
          <w:tcPr>
            <w:tcW w:w="1276" w:type="dxa"/>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t>ANUAL</w:t>
            </w:r>
          </w:p>
          <w:p>
            <w:pPr>
              <w:pStyle w:val="Normal"/>
              <w:spacing w:lineRule="auto" w:line="276"/>
              <w:jc w:val="center"/>
              <w:rPr>
                <w:rFonts w:ascii="Calibri" w:hAnsi="Calibri" w:cs="Calibri"/>
                <w:sz w:val="22"/>
                <w:szCs w:val="22"/>
                <w:lang w:eastAsia="en-US"/>
              </w:rPr>
            </w:pPr>
            <w:r>
              <w:rPr>
                <w:rFonts w:cs="Calibri" w:ascii="Calibri" w:hAnsi="Calibri"/>
                <w:sz w:val="22"/>
                <w:szCs w:val="22"/>
                <w:lang w:eastAsia="en-US"/>
              </w:rPr>
              <w:t>R$</w:t>
            </w:r>
          </w:p>
        </w:tc>
      </w:tr>
      <w:tr>
        <w:trPr/>
        <w:tc>
          <w:tcPr>
            <w:tcW w:w="282" w:type="dxa"/>
            <w:vMerge w:val="restart"/>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bCs/>
                <w:sz w:val="22"/>
                <w:szCs w:val="22"/>
                <w:lang w:eastAsia="en-US"/>
              </w:rPr>
            </w:pPr>
            <w:r>
              <w:rPr>
                <w:rFonts w:cs="Calibri" w:ascii="Calibri" w:hAnsi="Calibri"/>
                <w:bCs/>
                <w:sz w:val="22"/>
                <w:szCs w:val="22"/>
                <w:lang w:eastAsia="en-US"/>
              </w:rPr>
            </w:r>
          </w:p>
          <w:p>
            <w:pPr>
              <w:pStyle w:val="Normal"/>
              <w:spacing w:lineRule="auto" w:line="276"/>
              <w:jc w:val="center"/>
              <w:rPr>
                <w:rFonts w:ascii="Calibri" w:hAnsi="Calibri" w:cs="Calibri"/>
                <w:bCs/>
                <w:sz w:val="22"/>
                <w:szCs w:val="22"/>
                <w:lang w:eastAsia="en-US"/>
              </w:rPr>
            </w:pPr>
            <w:r>
              <w:rPr>
                <w:rFonts w:cs="Calibri" w:ascii="Calibri" w:hAnsi="Calibri"/>
                <w:bCs/>
                <w:sz w:val="22"/>
                <w:szCs w:val="22"/>
                <w:lang w:eastAsia="en-US"/>
              </w:rPr>
              <w:t>1</w:t>
            </w:r>
          </w:p>
        </w:tc>
        <w:tc>
          <w:tcPr>
            <w:tcW w:w="706" w:type="dxa"/>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bCs/>
                <w:color w:val="C00000"/>
                <w:sz w:val="22"/>
                <w:szCs w:val="22"/>
                <w:lang w:eastAsia="en-US"/>
              </w:rPr>
            </w:pPr>
            <w:r>
              <w:rPr>
                <w:rFonts w:cs="Calibri" w:ascii="Calibri" w:hAnsi="Calibri"/>
                <w:bCs/>
                <w:color w:val="C00000"/>
                <w:sz w:val="22"/>
                <w:szCs w:val="22"/>
                <w:lang w:eastAsia="en-US"/>
              </w:rPr>
              <w:t>1</w:t>
            </w:r>
          </w:p>
        </w:tc>
        <w:tc>
          <w:tcPr>
            <w:tcW w:w="2381" w:type="dxa"/>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Serviço de limpeza, conservação mediante cessão de mão de obra, com fornecimento de materiais, equipamentos e ferramentas necessários. Área Interna – pisos frios – 44horas semanais diurnas – Produtividade 1200 m². Piso frio. Execução diária.</w:t>
            </w:r>
          </w:p>
        </w:tc>
        <w:tc>
          <w:tcPr>
            <w:tcW w:w="708"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m²</w:t>
            </w:r>
          </w:p>
        </w:tc>
        <w:tc>
          <w:tcPr>
            <w:tcW w:w="99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rPr>
              <w:t>83.776</w:t>
            </w:r>
          </w:p>
        </w:tc>
        <w:tc>
          <w:tcPr>
            <w:tcW w:w="113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1.005.312</w:t>
            </w:r>
          </w:p>
        </w:tc>
        <w:tc>
          <w:tcPr>
            <w:tcW w:w="85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R$ 0,34</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R$ 28.</w:t>
            </w:r>
            <w:r>
              <w:rPr>
                <w:rFonts w:cs="Calibri" w:ascii="Calibri" w:hAnsi="Calibri"/>
                <w:color w:val="C00000"/>
                <w:sz w:val="22"/>
                <w:szCs w:val="22"/>
                <w:lang w:eastAsia="en-US"/>
              </w:rPr>
              <w:t>844,08</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 xml:space="preserve">R$ </w:t>
            </w:r>
            <w:r>
              <w:rPr>
                <w:rFonts w:cs="Calibri" w:ascii="Calibri" w:hAnsi="Calibri"/>
                <w:color w:val="C00000"/>
                <w:sz w:val="22"/>
                <w:szCs w:val="22"/>
                <w:lang w:eastAsia="en-US"/>
              </w:rPr>
              <w:t>346.128,96</w:t>
            </w:r>
          </w:p>
        </w:tc>
      </w:tr>
      <w:tr>
        <w:trPr/>
        <w:tc>
          <w:tcPr>
            <w:tcW w:w="282" w:type="dxa"/>
            <w:vMerge w:val="continue"/>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bCs/>
                <w:sz w:val="22"/>
                <w:szCs w:val="22"/>
                <w:lang w:eastAsia="en-US"/>
              </w:rPr>
            </w:pPr>
            <w:r>
              <w:rPr>
                <w:rFonts w:cs="Calibri" w:ascii="Calibri" w:hAnsi="Calibri"/>
                <w:bCs/>
                <w:sz w:val="22"/>
                <w:szCs w:val="22"/>
                <w:lang w:eastAsia="en-US"/>
              </w:rPr>
            </w:r>
          </w:p>
        </w:tc>
        <w:tc>
          <w:tcPr>
            <w:tcW w:w="706" w:type="dxa"/>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bCs/>
                <w:color w:val="C00000"/>
                <w:sz w:val="22"/>
                <w:szCs w:val="22"/>
                <w:lang w:eastAsia="en-US"/>
              </w:rPr>
            </w:pPr>
            <w:r>
              <w:rPr>
                <w:rFonts w:cs="Calibri" w:ascii="Calibri" w:hAnsi="Calibri"/>
                <w:bCs/>
                <w:color w:val="C00000"/>
                <w:sz w:val="22"/>
                <w:szCs w:val="22"/>
                <w:lang w:eastAsia="en-US"/>
              </w:rPr>
              <w:t>2</w:t>
            </w:r>
          </w:p>
        </w:tc>
        <w:tc>
          <w:tcPr>
            <w:tcW w:w="2381" w:type="dxa"/>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Serviço de limpeza, conservação mediante cessão de mão de obra, com fornecimento de materiais, equipamentos e ferramentas necessários. Área Interna – pisos frios – 44horas semanais diurnas – Produtividade 1200 m². Piso frio. Execução uma vez na semana.</w:t>
            </w:r>
          </w:p>
        </w:tc>
        <w:tc>
          <w:tcPr>
            <w:tcW w:w="70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r>
          </w:p>
        </w:tc>
        <w:tc>
          <w:tcPr>
            <w:tcW w:w="99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rPr>
              <w:t>31.456</w:t>
            </w:r>
          </w:p>
        </w:tc>
        <w:tc>
          <w:tcPr>
            <w:tcW w:w="113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377.472</w:t>
            </w:r>
          </w:p>
        </w:tc>
        <w:tc>
          <w:tcPr>
            <w:tcW w:w="85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R$ 0,</w:t>
            </w:r>
            <w:r>
              <w:rPr>
                <w:rFonts w:cs="Calibri" w:ascii="Calibri" w:hAnsi="Calibri"/>
                <w:color w:val="C00000"/>
                <w:sz w:val="22"/>
                <w:szCs w:val="22"/>
                <w:lang w:eastAsia="en-US"/>
              </w:rPr>
              <w:t>25</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 xml:space="preserve">R$ </w:t>
            </w:r>
            <w:r>
              <w:rPr>
                <w:rFonts w:cs="Calibri" w:ascii="Calibri" w:hAnsi="Calibri"/>
                <w:color w:val="C00000"/>
                <w:sz w:val="22"/>
                <w:szCs w:val="22"/>
                <w:lang w:eastAsia="en-US"/>
              </w:rPr>
              <w:t>7.738,18</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 xml:space="preserve">R$ </w:t>
            </w:r>
            <w:r>
              <w:rPr>
                <w:rFonts w:cs="Calibri" w:ascii="Calibri" w:hAnsi="Calibri"/>
                <w:color w:val="C00000"/>
                <w:sz w:val="22"/>
                <w:szCs w:val="22"/>
                <w:lang w:eastAsia="en-US"/>
              </w:rPr>
              <w:t>92.858,16</w:t>
            </w:r>
          </w:p>
        </w:tc>
      </w:tr>
      <w:tr>
        <w:trPr/>
        <w:tc>
          <w:tcPr>
            <w:tcW w:w="282" w:type="dxa"/>
            <w:vMerge w:val="continue"/>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bCs/>
                <w:sz w:val="22"/>
                <w:szCs w:val="22"/>
                <w:lang w:eastAsia="en-US"/>
              </w:rPr>
            </w:pPr>
            <w:r>
              <w:rPr>
                <w:rFonts w:cs="Calibri" w:ascii="Calibri" w:hAnsi="Calibri"/>
                <w:bCs/>
                <w:sz w:val="22"/>
                <w:szCs w:val="22"/>
                <w:lang w:eastAsia="en-US"/>
              </w:rPr>
            </w:r>
          </w:p>
        </w:tc>
        <w:tc>
          <w:tcPr>
            <w:tcW w:w="706" w:type="dxa"/>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bCs/>
                <w:color w:val="C00000"/>
                <w:sz w:val="22"/>
                <w:szCs w:val="22"/>
                <w:lang w:eastAsia="en-US"/>
              </w:rPr>
            </w:pPr>
            <w:r>
              <w:rPr>
                <w:rFonts w:cs="Calibri" w:ascii="Calibri" w:hAnsi="Calibri"/>
                <w:bCs/>
                <w:color w:val="C00000"/>
                <w:sz w:val="22"/>
                <w:szCs w:val="22"/>
                <w:lang w:eastAsia="en-US"/>
              </w:rPr>
              <w:t>3</w:t>
            </w:r>
          </w:p>
        </w:tc>
        <w:tc>
          <w:tcPr>
            <w:tcW w:w="2381" w:type="dxa"/>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Serviço de limpeza, conservação mediante cessão de mão de obra, com fornecimento de materiais, equipamentos e ferramentas necessários. Área Interna – pisos frios – 44 horas semanais diurnas – Produtividade 300 m². Banheiros. Execução diária.</w:t>
            </w:r>
          </w:p>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r>
          </w:p>
        </w:tc>
        <w:tc>
          <w:tcPr>
            <w:tcW w:w="70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r>
          </w:p>
        </w:tc>
        <w:tc>
          <w:tcPr>
            <w:tcW w:w="99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rPr>
              <w:t>9.372</w:t>
            </w:r>
          </w:p>
        </w:tc>
        <w:tc>
          <w:tcPr>
            <w:tcW w:w="113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112.464</w:t>
            </w:r>
          </w:p>
        </w:tc>
        <w:tc>
          <w:tcPr>
            <w:tcW w:w="85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R$ 1,</w:t>
            </w:r>
            <w:r>
              <w:rPr>
                <w:rFonts w:cs="Calibri" w:ascii="Calibri" w:hAnsi="Calibri"/>
                <w:color w:val="C00000"/>
                <w:sz w:val="22"/>
                <w:szCs w:val="22"/>
                <w:lang w:eastAsia="en-US"/>
              </w:rPr>
              <w:t>40</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 xml:space="preserve">R$ </w:t>
            </w:r>
            <w:r>
              <w:rPr>
                <w:rFonts w:cs="Calibri" w:ascii="Calibri" w:hAnsi="Calibri"/>
                <w:color w:val="C00000"/>
                <w:sz w:val="22"/>
                <w:szCs w:val="22"/>
                <w:lang w:eastAsia="en-US"/>
              </w:rPr>
              <w:t>13.090,27</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R$ 1</w:t>
            </w:r>
            <w:r>
              <w:rPr>
                <w:rFonts w:cs="Calibri" w:ascii="Calibri" w:hAnsi="Calibri"/>
                <w:color w:val="C00000"/>
                <w:sz w:val="22"/>
                <w:szCs w:val="22"/>
                <w:lang w:eastAsia="en-US"/>
              </w:rPr>
              <w:t>57.083,24</w:t>
            </w:r>
          </w:p>
        </w:tc>
      </w:tr>
      <w:tr>
        <w:trPr/>
        <w:tc>
          <w:tcPr>
            <w:tcW w:w="282" w:type="dxa"/>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bCs/>
                <w:sz w:val="22"/>
                <w:szCs w:val="22"/>
                <w:lang w:eastAsia="en-US"/>
              </w:rPr>
            </w:pPr>
            <w:r>
              <w:rPr>
                <w:rFonts w:cs="Calibri" w:ascii="Calibri" w:hAnsi="Calibri"/>
                <w:bCs/>
                <w:sz w:val="22"/>
                <w:szCs w:val="22"/>
                <w:lang w:eastAsia="en-US"/>
              </w:rPr>
            </w:r>
          </w:p>
        </w:tc>
        <w:tc>
          <w:tcPr>
            <w:tcW w:w="706" w:type="dxa"/>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bCs/>
                <w:color w:val="C00000"/>
                <w:sz w:val="22"/>
                <w:szCs w:val="22"/>
                <w:lang w:eastAsia="en-US"/>
              </w:rPr>
            </w:pPr>
            <w:r>
              <w:rPr>
                <w:rFonts w:cs="Calibri" w:ascii="Calibri" w:hAnsi="Calibri"/>
                <w:bCs/>
                <w:color w:val="C00000"/>
                <w:sz w:val="22"/>
                <w:szCs w:val="22"/>
                <w:lang w:eastAsia="en-US"/>
              </w:rPr>
              <w:t>4</w:t>
            </w:r>
          </w:p>
        </w:tc>
        <w:tc>
          <w:tcPr>
            <w:tcW w:w="2381" w:type="dxa"/>
            <w:tcBorders>
              <w:top w:val="single" w:sz="4" w:space="0" w:color="000000"/>
              <w:left w:val="single" w:sz="4" w:space="0" w:color="000000"/>
              <w:bottom w:val="single" w:sz="4" w:space="0" w:color="000000"/>
              <w:right w:val="single" w:sz="4" w:space="0" w:color="000000"/>
            </w:tcBorders>
            <w:shd w:color="auto" w:fill="BFBFBF" w:val="clear"/>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Serviço de limpeza, conservação mediante cessão de mão de obra, com fornecimento de materiais, equipamentos e ferramentas necessários. Área Interna – pisos frios – 44horas semanais diurnas – Produtividade 300 m². Banheiros. Execução uma vez na semana.</w:t>
            </w:r>
          </w:p>
        </w:tc>
        <w:tc>
          <w:tcPr>
            <w:tcW w:w="70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r>
          </w:p>
        </w:tc>
        <w:tc>
          <w:tcPr>
            <w:tcW w:w="990"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rPr>
            </w:pPr>
            <w:r>
              <w:rPr>
                <w:rFonts w:cs="Calibri" w:ascii="Calibri" w:hAnsi="Calibri"/>
                <w:color w:val="C00000"/>
                <w:sz w:val="22"/>
                <w:szCs w:val="22"/>
              </w:rPr>
              <w:t>624</w:t>
            </w:r>
          </w:p>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r>
          </w:p>
        </w:tc>
        <w:tc>
          <w:tcPr>
            <w:tcW w:w="113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7.488</w:t>
            </w:r>
          </w:p>
        </w:tc>
        <w:tc>
          <w:tcPr>
            <w:tcW w:w="85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rPr>
            </w:pPr>
            <w:r>
              <w:rPr>
                <w:rFonts w:cs="Calibri" w:ascii="Calibri" w:hAnsi="Calibri"/>
                <w:color w:val="C00000"/>
                <w:sz w:val="22"/>
                <w:szCs w:val="22"/>
              </w:rPr>
              <w:t>R$ 2,</w:t>
            </w:r>
            <w:r>
              <w:rPr>
                <w:rFonts w:cs="Calibri" w:ascii="Calibri" w:hAnsi="Calibri"/>
                <w:color w:val="C00000"/>
                <w:sz w:val="22"/>
                <w:szCs w:val="22"/>
              </w:rPr>
              <w:t>39</w:t>
            </w:r>
          </w:p>
        </w:tc>
        <w:tc>
          <w:tcPr>
            <w:tcW w:w="113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R$ 1.</w:t>
            </w:r>
            <w:r>
              <w:rPr>
                <w:rFonts w:cs="Calibri" w:ascii="Calibri" w:hAnsi="Calibri"/>
                <w:color w:val="C00000"/>
                <w:sz w:val="22"/>
                <w:szCs w:val="22"/>
                <w:lang w:eastAsia="en-US"/>
              </w:rPr>
              <w:t>433,95</w:t>
            </w:r>
          </w:p>
        </w:tc>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jc w:val="center"/>
              <w:rPr>
                <w:rFonts w:ascii="Calibri" w:hAnsi="Calibri" w:cs="Calibri"/>
                <w:color w:val="C00000"/>
                <w:sz w:val="22"/>
                <w:szCs w:val="22"/>
                <w:lang w:eastAsia="en-US"/>
              </w:rPr>
            </w:pPr>
            <w:r>
              <w:rPr>
                <w:rFonts w:cs="Calibri" w:ascii="Calibri" w:hAnsi="Calibri"/>
                <w:color w:val="C00000"/>
                <w:sz w:val="22"/>
                <w:szCs w:val="22"/>
                <w:lang w:eastAsia="en-US"/>
              </w:rPr>
              <w:t>R$ 1</w:t>
            </w:r>
            <w:r>
              <w:rPr>
                <w:rFonts w:cs="Calibri" w:ascii="Calibri" w:hAnsi="Calibri"/>
                <w:color w:val="C00000"/>
                <w:sz w:val="22"/>
                <w:szCs w:val="22"/>
                <w:lang w:eastAsia="en-US"/>
              </w:rPr>
              <w:t>7.207,40</w:t>
            </w:r>
          </w:p>
        </w:tc>
      </w:tr>
      <w:tr>
        <w:trPr/>
        <w:tc>
          <w:tcPr>
            <w:tcW w:w="4815"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before="0" w:after="120"/>
              <w:jc w:val="center"/>
              <w:rPr>
                <w:rFonts w:ascii="Calibri" w:hAnsi="Calibri" w:cs="Calibri"/>
                <w:color w:val="C00000"/>
                <w:sz w:val="22"/>
                <w:szCs w:val="22"/>
                <w:lang w:eastAsia="en-US"/>
              </w:rPr>
            </w:pPr>
            <w:r>
              <w:rPr>
                <w:rFonts w:cs="Calibri" w:ascii="Calibri" w:hAnsi="Calibri"/>
                <w:b/>
                <w:bCs/>
                <w:color w:val="C00000"/>
                <w:sz w:val="22"/>
                <w:szCs w:val="22"/>
                <w:lang w:eastAsia="en-US"/>
              </w:rPr>
              <w:t>Valor Mensal: R$ 55.798,65</w:t>
            </w:r>
          </w:p>
        </w:tc>
        <w:tc>
          <w:tcPr>
            <w:tcW w:w="4649" w:type="dxa"/>
            <w:gridSpan w:val="5"/>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before="0" w:after="120"/>
              <w:jc w:val="center"/>
              <w:rPr>
                <w:rFonts w:ascii="Calibri" w:hAnsi="Calibri" w:cs="Calibri"/>
                <w:color w:val="C00000"/>
                <w:sz w:val="22"/>
                <w:szCs w:val="22"/>
                <w:lang w:eastAsia="en-US"/>
              </w:rPr>
            </w:pPr>
            <w:r>
              <w:rPr>
                <w:rFonts w:cs="Calibri" w:ascii="Calibri" w:hAnsi="Calibri"/>
                <w:b/>
                <w:bCs/>
                <w:color w:val="C00000"/>
                <w:sz w:val="22"/>
                <w:szCs w:val="22"/>
                <w:lang w:eastAsia="en-US"/>
              </w:rPr>
              <w:t>Valor Anual: R$ 669.583,80</w:t>
            </w:r>
          </w:p>
        </w:tc>
      </w:tr>
    </w:tbl>
    <w:p>
      <w:pPr>
        <w:pStyle w:val="Nivel2"/>
        <w:numPr>
          <w:ilvl w:val="0"/>
          <w:numId w:val="0"/>
        </w:numPr>
        <w:ind w:hanging="0" w:left="0"/>
        <w:rPr/>
      </w:pPr>
      <w:r>
        <w:rPr/>
      </w:r>
    </w:p>
    <w:p>
      <w:pPr>
        <w:pStyle w:val="Nivel2"/>
        <w:numPr>
          <w:ilvl w:val="1"/>
          <w:numId w:val="1"/>
        </w:numPr>
        <w:ind w:hanging="0" w:left="0"/>
        <w:rPr>
          <w:b w:val="false"/>
          <w:bCs w:val="false"/>
        </w:rPr>
      </w:pPr>
      <w:r>
        <w:rPr>
          <w:b w:val="false"/>
          <w:bCs w:val="false"/>
        </w:rPr>
        <w:t>O valor global do contrato será aquele decorrente da proposta vencedora, apurada com base no menor preço global do grupo, conforme resultado do Pregão Eletrônico nº ___/2025.</w:t>
      </w:r>
    </w:p>
    <w:p>
      <w:pPr>
        <w:pStyle w:val="Nivel2"/>
        <w:numPr>
          <w:ilvl w:val="1"/>
          <w:numId w:val="1"/>
        </w:numPr>
        <w:ind w:hanging="0" w:left="0"/>
        <w:rPr/>
      </w:pPr>
      <w:r>
        <w:rPr/>
        <w:t>Vinculam esta contratação, independentemente de transcrição:</w:t>
      </w:r>
    </w:p>
    <w:p>
      <w:pPr>
        <w:pStyle w:val="Nivel3"/>
        <w:numPr>
          <w:ilvl w:val="2"/>
          <w:numId w:val="1"/>
        </w:numPr>
        <w:ind w:hanging="0" w:left="284"/>
        <w:rPr>
          <w:i w:val="false"/>
          <w:i w:val="false"/>
          <w:iCs w:val="false"/>
        </w:rPr>
      </w:pPr>
      <w:r>
        <w:rPr>
          <w:i w:val="false"/>
          <w:iCs w:val="false"/>
        </w:rPr>
        <w:t>O Termo de Referência;</w:t>
      </w:r>
    </w:p>
    <w:p>
      <w:pPr>
        <w:pStyle w:val="Nvel3-R"/>
        <w:numPr>
          <w:ilvl w:val="2"/>
          <w:numId w:val="1"/>
        </w:numPr>
        <w:ind w:hanging="0" w:left="284"/>
        <w:rPr>
          <w:i w:val="false"/>
          <w:i w:val="false"/>
          <w:iCs w:val="false"/>
        </w:rPr>
      </w:pPr>
      <w:r>
        <w:rPr>
          <w:i w:val="false"/>
          <w:iCs w:val="false"/>
        </w:rPr>
        <w:t>O Edital da Licitação;</w:t>
      </w:r>
    </w:p>
    <w:p>
      <w:pPr>
        <w:pStyle w:val="Nivel3"/>
        <w:numPr>
          <w:ilvl w:val="2"/>
          <w:numId w:val="1"/>
        </w:numPr>
        <w:ind w:hanging="0" w:left="284"/>
        <w:rPr>
          <w:i w:val="false"/>
          <w:i w:val="false"/>
          <w:iCs w:val="false"/>
        </w:rPr>
      </w:pPr>
      <w:r>
        <w:rPr>
          <w:i w:val="false"/>
          <w:iCs w:val="false"/>
        </w:rPr>
        <w:t>A Proposta do CONTRATADO;</w:t>
      </w:r>
    </w:p>
    <w:p>
      <w:pPr>
        <w:pStyle w:val="Nivel3"/>
        <w:numPr>
          <w:ilvl w:val="2"/>
          <w:numId w:val="1"/>
        </w:numPr>
        <w:ind w:hanging="0" w:left="284"/>
        <w:rPr>
          <w:i w:val="false"/>
          <w:i w:val="false"/>
          <w:iCs w:val="false"/>
        </w:rPr>
      </w:pPr>
      <w:r>
        <w:rPr>
          <w:i w:val="false"/>
          <w:iCs w:val="false"/>
        </w:rPr>
        <w:t>Eventuais anexos dos documentos supracitados.</w:t>
      </w:r>
    </w:p>
    <w:p>
      <w:pPr>
        <w:pStyle w:val="Nivel01"/>
        <w:numPr>
          <w:ilvl w:val="0"/>
          <w:numId w:val="1"/>
        </w:numPr>
        <w:ind w:hanging="360" w:left="0"/>
        <w:rPr>
          <w:color w:themeColor="background1" w:val="FFFFFF"/>
        </w:rPr>
      </w:pPr>
      <w:bookmarkStart w:id="2" w:name="__RefHeading___Toc9154_61645898"/>
      <w:bookmarkStart w:id="3" w:name="_Hlk182222528"/>
      <w:bookmarkStart w:id="4" w:name="_Toc212576768"/>
      <w:bookmarkEnd w:id="2"/>
      <w:r>
        <w:rPr/>
        <w:t>CLÁUSULA SEGUNDA – VIGÊNCIA E PRORROGAÇÃO</w:t>
      </w:r>
      <w:bookmarkEnd w:id="4"/>
    </w:p>
    <w:p>
      <w:pPr>
        <w:pStyle w:val="Nivel2"/>
        <w:numPr>
          <w:ilvl w:val="1"/>
          <w:numId w:val="1"/>
        </w:numPr>
        <w:ind w:hanging="0" w:left="0"/>
        <w:rPr>
          <w:i/>
          <w:i/>
          <w:iCs/>
          <w:color w:val="FF0000"/>
        </w:rPr>
      </w:pPr>
      <w:r>
        <w:rPr>
          <w:i/>
          <w:iCs/>
          <w:color w:val="FF0000"/>
        </w:rPr>
        <w:t xml:space="preserve">O prazo de vigência da contratação é </w:t>
      </w:r>
      <w:r>
        <w:rPr>
          <w:i/>
          <w:iCs/>
          <w:color w:val="0070C0"/>
        </w:rPr>
        <w:t xml:space="preserve">de 12 (doze) meses </w:t>
      </w:r>
      <w:r>
        <w:rPr>
          <w:i/>
          <w:iCs/>
          <w:color w:val="FF0000"/>
        </w:rPr>
        <w:t xml:space="preserve">contados do </w:t>
      </w:r>
      <w:r>
        <w:rPr>
          <w:i/>
          <w:iCs/>
          <w:color w:val="0070C0"/>
        </w:rPr>
        <w:t xml:space="preserve">dia -----de -----------de 20XX </w:t>
      </w:r>
      <w:r>
        <w:rPr>
          <w:b/>
          <w:bCs/>
          <w:i/>
          <w:iCs/>
          <w:color w:val="0070C0"/>
        </w:rPr>
        <w:t xml:space="preserve"> </w:t>
      </w:r>
      <w:r>
        <w:rPr>
          <w:i/>
          <w:iCs/>
          <w:color w:val="FF0000"/>
        </w:rPr>
        <w:t>, prorrogável sucessivamente por até 10 anos, na forma dos artigos 106 e 107 da Lei n° 14.133, de 2021.</w:t>
      </w:r>
    </w:p>
    <w:p>
      <w:pPr>
        <w:pStyle w:val="Nivel2"/>
        <w:numPr>
          <w:ilvl w:val="1"/>
          <w:numId w:val="1"/>
        </w:numPr>
        <w:ind w:hanging="0" w:left="0"/>
        <w:rPr>
          <w:i/>
          <w:i/>
          <w:iCs/>
          <w:color w:val="FF0000"/>
        </w:rPr>
      </w:pPr>
      <w:r>
        <w:rPr>
          <w:i/>
          <w:iCs/>
          <w:color w:val="FF0000"/>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pPr>
        <w:pStyle w:val="Nivel3"/>
        <w:numPr>
          <w:ilvl w:val="2"/>
          <w:numId w:val="1"/>
        </w:numPr>
        <w:ind w:hanging="0" w:left="284"/>
        <w:rPr>
          <w:i/>
          <w:i/>
          <w:iCs/>
          <w:color w:val="FF0000"/>
        </w:rPr>
      </w:pPr>
      <w:r>
        <w:rPr>
          <w:i/>
          <w:iCs/>
          <w:color w:val="FF0000"/>
        </w:rPr>
        <w:t>Estar formalmente demonstrado no processo que a forma de prestação dos serviços tem natureza continuada;</w:t>
      </w:r>
    </w:p>
    <w:p>
      <w:pPr>
        <w:pStyle w:val="Nivel3"/>
        <w:numPr>
          <w:ilvl w:val="2"/>
          <w:numId w:val="1"/>
        </w:numPr>
        <w:ind w:hanging="0" w:left="284"/>
        <w:rPr>
          <w:i/>
          <w:i/>
          <w:iCs/>
          <w:color w:val="FF0000"/>
        </w:rPr>
      </w:pPr>
      <w:r>
        <w:rPr>
          <w:i/>
          <w:iCs/>
          <w:color w:val="FF0000"/>
        </w:rPr>
        <w:t xml:space="preserve">Seja juntado relatório que discorra sobre a execução do contrato, com informações de que os serviços tenham sido prestados regularmente;  </w:t>
      </w:r>
    </w:p>
    <w:p>
      <w:pPr>
        <w:pStyle w:val="Nivel3"/>
        <w:numPr>
          <w:ilvl w:val="2"/>
          <w:numId w:val="1"/>
        </w:numPr>
        <w:ind w:hanging="0" w:left="284"/>
        <w:rPr>
          <w:i/>
          <w:i/>
          <w:iCs/>
          <w:color w:val="FF0000"/>
        </w:rPr>
      </w:pPr>
      <w:r>
        <w:rPr>
          <w:i/>
          <w:iCs/>
          <w:color w:val="FF0000"/>
        </w:rPr>
        <w:t xml:space="preserve">Seja juntada justificativa e motivo, por escrito, de que a Administração mantém interesse na realização do serviço;  </w:t>
      </w:r>
    </w:p>
    <w:p>
      <w:pPr>
        <w:pStyle w:val="Nivel3"/>
        <w:numPr>
          <w:ilvl w:val="2"/>
          <w:numId w:val="1"/>
        </w:numPr>
        <w:ind w:hanging="0" w:left="284"/>
        <w:rPr>
          <w:i/>
          <w:i/>
          <w:iCs/>
          <w:color w:val="FF0000"/>
        </w:rPr>
      </w:pPr>
      <w:r>
        <w:rPr>
          <w:i/>
          <w:iCs/>
          <w:color w:val="FF0000"/>
        </w:rPr>
        <w:t xml:space="preserve">Haja manifestação expressa do CONTRATADO informando o interesse na prorrogação; </w:t>
      </w:r>
    </w:p>
    <w:p>
      <w:pPr>
        <w:pStyle w:val="Nivel3"/>
        <w:numPr>
          <w:ilvl w:val="2"/>
          <w:numId w:val="1"/>
        </w:numPr>
        <w:ind w:hanging="0" w:left="284"/>
        <w:rPr>
          <w:i/>
          <w:i/>
          <w:iCs/>
          <w:color w:val="FF0000"/>
        </w:rPr>
      </w:pPr>
      <w:r>
        <w:rPr>
          <w:i/>
          <w:iCs/>
          <w:color w:val="FF0000"/>
        </w:rPr>
        <w:t>Seja comprovado que o CONTRATADO mantém as condições iniciais de habilitação; e</w:t>
      </w:r>
    </w:p>
    <w:p>
      <w:pPr>
        <w:pStyle w:val="Nivel3"/>
        <w:numPr>
          <w:ilvl w:val="2"/>
          <w:numId w:val="1"/>
        </w:numPr>
        <w:ind w:hanging="0" w:left="284"/>
        <w:rPr>
          <w:i/>
          <w:i/>
          <w:iCs/>
          <w:color w:val="FF0000"/>
        </w:rPr>
      </w:pPr>
      <w:bookmarkStart w:id="5" w:name="_Hlk182221187"/>
      <w:bookmarkStart w:id="6" w:name="_Hlk182221215"/>
      <w:r>
        <w:rPr>
          <w:i/>
          <w:iCs/>
          <w:color w:val="FF0000"/>
        </w:rPr>
        <w:t>Não haja registro no Cadastro Informativo de créditos não quitados do setor público federal (Cadin)</w:t>
      </w:r>
      <w:bookmarkEnd w:id="6"/>
      <w:r>
        <w:rPr>
          <w:i/>
          <w:iCs/>
          <w:color w:val="FF0000"/>
        </w:rPr>
        <w:t>.</w:t>
      </w:r>
      <w:bookmarkEnd w:id="3"/>
      <w:bookmarkEnd w:id="5"/>
    </w:p>
    <w:p>
      <w:pPr>
        <w:pStyle w:val="Nivel2"/>
        <w:numPr>
          <w:ilvl w:val="1"/>
          <w:numId w:val="1"/>
        </w:numPr>
        <w:ind w:hanging="0" w:left="0"/>
        <w:rPr>
          <w:i/>
          <w:i/>
          <w:iCs/>
          <w:color w:val="FF0000"/>
        </w:rPr>
      </w:pPr>
      <w:bookmarkStart w:id="7" w:name="_Hlk182221232"/>
      <w:r>
        <w:rPr>
          <w:i/>
          <w:iCs/>
          <w:color w:val="FF0000"/>
        </w:rPr>
        <w:t xml:space="preserve">O CONTRATADO </w:t>
      </w:r>
      <w:bookmarkEnd w:id="7"/>
      <w:r>
        <w:rPr>
          <w:i/>
          <w:iCs/>
          <w:color w:val="FF0000"/>
        </w:rPr>
        <w:t>não tem direito subjetivo à prorrogação contratual.</w:t>
      </w:r>
    </w:p>
    <w:p>
      <w:pPr>
        <w:pStyle w:val="Nivel2"/>
        <w:numPr>
          <w:ilvl w:val="1"/>
          <w:numId w:val="1"/>
        </w:numPr>
        <w:ind w:hanging="0" w:left="0"/>
        <w:rPr>
          <w:i/>
          <w:i/>
          <w:iCs/>
          <w:color w:val="FF0000"/>
        </w:rPr>
      </w:pPr>
      <w:r>
        <w:rPr>
          <w:i/>
          <w:iCs/>
          <w:color w:val="FF0000"/>
        </w:rPr>
        <w:t>A prorrogação de contrato deverá ser promovida mediante celebração de termo aditivo.</w:t>
      </w:r>
    </w:p>
    <w:p>
      <w:pPr>
        <w:pStyle w:val="Nivel2"/>
        <w:numPr>
          <w:ilvl w:val="1"/>
          <w:numId w:val="1"/>
        </w:numPr>
        <w:ind w:hanging="0" w:left="0"/>
        <w:rPr>
          <w:i/>
          <w:i/>
          <w:iCs/>
          <w:color w:val="FF0000"/>
        </w:rPr>
      </w:pPr>
      <w:r>
        <w:rPr>
          <w:i/>
          <w:iCs/>
          <w:color w:val="FF0000"/>
        </w:rPr>
        <w:t>Nas eventuais prorrogações contratuais, os custos não renováveis já pagos ou amortizados ao longo do primeiro período de vigência da contratação deverão ser reduzidos ou eliminados como condição para a renovação.</w:t>
      </w:r>
    </w:p>
    <w:p>
      <w:pPr>
        <w:pStyle w:val="Nivel2"/>
        <w:numPr>
          <w:ilvl w:val="1"/>
          <w:numId w:val="1"/>
        </w:numPr>
        <w:ind w:hanging="0" w:left="0"/>
        <w:rPr>
          <w:i/>
          <w:i/>
          <w:iCs/>
          <w:color w:val="FF0000"/>
        </w:rPr>
      </w:pPr>
      <w:r>
        <w:rPr>
          <w:i/>
          <w:iCs/>
          <w:color w:val="FF0000"/>
        </w:rPr>
        <w:t>O contrato não poderá ser prorrogado quando o CONTRATADO tiver sido penalizado nas sanções de declaração de inidoneidade ou impedimento de licitar e contratar com poder público, observadas as abrangências de aplicação.</w:t>
      </w:r>
    </w:p>
    <w:p>
      <w:pPr>
        <w:pStyle w:val="Nivel2"/>
        <w:numPr>
          <w:ilvl w:val="1"/>
          <w:numId w:val="1"/>
        </w:numPr>
        <w:ind w:hanging="0" w:left="0"/>
        <w:rPr>
          <w:i/>
          <w:i/>
          <w:iCs/>
          <w:color w:val="FF0000"/>
        </w:rPr>
      </w:pPr>
      <w:r>
        <w:rPr>
          <w:i/>
          <w:iCs/>
          <w:color w:val="FF0000"/>
        </w:rPr>
        <w:t>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pPr>
        <w:pStyle w:val="Nivel01"/>
        <w:numPr>
          <w:ilvl w:val="0"/>
          <w:numId w:val="1"/>
        </w:numPr>
        <w:ind w:hanging="360" w:left="0"/>
        <w:rPr>
          <w:color w:themeColor="background1" w:val="FFFFFF"/>
        </w:rPr>
      </w:pPr>
      <w:bookmarkStart w:id="8" w:name="__RefHeading___Toc9156_61645898"/>
      <w:bookmarkStart w:id="9" w:name="_Toc212576769"/>
      <w:bookmarkStart w:id="10" w:name="_Hlk191044510"/>
      <w:bookmarkStart w:id="11" w:name="_Hlk114497502"/>
      <w:bookmarkStart w:id="12" w:name="_Hlk114497577"/>
      <w:bookmarkEnd w:id="8"/>
      <w:bookmarkEnd w:id="10"/>
      <w:bookmarkEnd w:id="11"/>
      <w:bookmarkEnd w:id="12"/>
      <w:r>
        <w:rPr/>
        <w:t>CLÁUSULA TERCEIRA – MODELOS DE EXECUÇÃO E GESTÃO CONTRATUAIS</w:t>
      </w:r>
      <w:bookmarkEnd w:id="9"/>
    </w:p>
    <w:p>
      <w:pPr>
        <w:pStyle w:val="Nivel2"/>
        <w:numPr>
          <w:ilvl w:val="1"/>
          <w:numId w:val="1"/>
        </w:numPr>
        <w:ind w:hanging="0"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
        </w:numPr>
        <w:ind w:hanging="360" w:left="0"/>
        <w:rPr>
          <w:color w:themeColor="background1" w:val="FFFFFF"/>
        </w:rPr>
      </w:pPr>
      <w:bookmarkStart w:id="13" w:name="__RefHeading___Toc9158_61645898"/>
      <w:bookmarkStart w:id="14" w:name="_Toc212576770"/>
      <w:bookmarkEnd w:id="13"/>
      <w:r>
        <w:rPr/>
        <w:t>CLÁUSULA QUARTA – SUBCONTRATAÇÃO</w:t>
      </w:r>
      <w:bookmarkEnd w:id="14"/>
    </w:p>
    <w:p>
      <w:pPr>
        <w:pStyle w:val="Nivel2"/>
        <w:numPr>
          <w:ilvl w:val="1"/>
          <w:numId w:val="1"/>
        </w:numPr>
        <w:ind w:hanging="0" w:left="0"/>
        <w:rPr>
          <w:i/>
          <w:i/>
        </w:rPr>
      </w:pPr>
      <w:bookmarkStart w:id="15" w:name="_Hlk182220156"/>
      <w:r>
        <w:rPr/>
        <w:t>As regras sobre a subcontratação do objeto são aquelas estabelecidas no Termo de Referência, anexo a este Contrato</w:t>
      </w:r>
      <w:bookmarkEnd w:id="15"/>
      <w:r>
        <w:rPr/>
        <w:t>.</w:t>
      </w:r>
    </w:p>
    <w:p>
      <w:pPr>
        <w:pStyle w:val="Nivel01"/>
        <w:numPr>
          <w:ilvl w:val="0"/>
          <w:numId w:val="1"/>
        </w:numPr>
        <w:ind w:hanging="360" w:left="0"/>
        <w:rPr>
          <w:color w:themeColor="background1" w:val="FFFFFF"/>
        </w:rPr>
      </w:pPr>
      <w:bookmarkStart w:id="16" w:name="__RefHeading___Toc9160_61645898"/>
      <w:bookmarkStart w:id="17" w:name="_Toc212576771"/>
      <w:bookmarkStart w:id="18" w:name="_Hlk182221373"/>
      <w:bookmarkEnd w:id="16"/>
      <w:bookmarkEnd w:id="18"/>
      <w:r>
        <w:rPr/>
        <w:t>CLÁUSULA QUINTA – PREÇO</w:t>
      </w:r>
      <w:bookmarkEnd w:id="17"/>
    </w:p>
    <w:p>
      <w:pPr>
        <w:pStyle w:val="Nvel2-Red"/>
        <w:numPr>
          <w:ilvl w:val="1"/>
          <w:numId w:val="1"/>
        </w:numPr>
        <w:ind w:hanging="0" w:left="0"/>
        <w:rPr/>
      </w:pPr>
      <w:r>
        <w:rPr>
          <w:lang w:eastAsia="en-US"/>
        </w:rPr>
        <w:t xml:space="preserve">O valor mensal da </w:t>
      </w:r>
      <w:r>
        <w:rPr/>
        <w:t>contratação</w:t>
      </w:r>
      <w:r>
        <w:rPr>
          <w:lang w:eastAsia="en-US"/>
        </w:rPr>
        <w:t xml:space="preserve"> é de R$</w:t>
      </w:r>
      <w:r>
        <w:rPr/>
        <w:t xml:space="preserve"> </w:t>
      </w:r>
      <w:r>
        <w:rPr>
          <w:b/>
          <w:bCs/>
          <w:lang w:eastAsia="en-US"/>
        </w:rPr>
        <w:t>xxxxxx</w:t>
      </w:r>
      <w:r>
        <w:rPr>
          <w:lang w:eastAsia="en-US"/>
        </w:rPr>
        <w:t xml:space="preserve"> (</w:t>
      </w:r>
      <w:r>
        <w:rPr>
          <w:b/>
          <w:bCs/>
          <w:lang w:eastAsia="en-US"/>
        </w:rPr>
        <w:t>xxxxxxxxx</w:t>
      </w:r>
      <w:r>
        <w:rPr>
          <w:lang w:eastAsia="en-US"/>
        </w:rPr>
        <w:t>),</w:t>
      </w:r>
      <w:r>
        <w:rPr/>
        <w:t xml:space="preserve"> </w:t>
      </w:r>
      <w:r>
        <w:rPr>
          <w:lang w:eastAsia="en-US"/>
        </w:rPr>
        <w:t>perfazendo o valor total de R$</w:t>
      </w:r>
      <w:r>
        <w:rPr/>
        <w:t xml:space="preserve"> </w:t>
      </w:r>
      <w:r>
        <w:rPr>
          <w:b/>
          <w:bCs/>
          <w:lang w:eastAsia="en-US"/>
        </w:rPr>
        <w:t>xxxxxx</w:t>
      </w:r>
      <w:r>
        <w:rPr>
          <w:lang w:eastAsia="en-US"/>
        </w:rPr>
        <w:t xml:space="preserve"> (</w:t>
      </w:r>
      <w:r>
        <w:rPr>
          <w:b/>
          <w:bCs/>
          <w:lang w:eastAsia="en-US"/>
        </w:rPr>
        <w:t>xxxxxxxxx</w:t>
      </w:r>
      <w:r>
        <w:rPr>
          <w:lang w:eastAsia="en-US"/>
        </w:rPr>
        <w:t>).</w:t>
      </w:r>
    </w:p>
    <w:p>
      <w:pPr>
        <w:pStyle w:val="Nivel2"/>
        <w:numPr>
          <w:ilvl w:val="1"/>
          <w:numId w:val="1"/>
        </w:numPr>
        <w:ind w:hanging="0" w:left="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01"/>
        <w:numPr>
          <w:ilvl w:val="0"/>
          <w:numId w:val="1"/>
        </w:numPr>
        <w:ind w:hanging="360" w:left="0"/>
        <w:rPr>
          <w:color w:themeColor="background1" w:val="FFFFFF"/>
        </w:rPr>
      </w:pPr>
      <w:bookmarkStart w:id="19" w:name="__RefHeading___Toc9162_61645898"/>
      <w:bookmarkStart w:id="20" w:name="_Toc212576772"/>
      <w:bookmarkEnd w:id="19"/>
      <w:r>
        <w:rPr/>
        <w:t>CLÁUSULA SEXTA - PAGAMENTO</w:t>
      </w:r>
      <w:bookmarkEnd w:id="20"/>
    </w:p>
    <w:p>
      <w:pPr>
        <w:pStyle w:val="Nivel2"/>
        <w:numPr>
          <w:ilvl w:val="1"/>
          <w:numId w:val="1"/>
        </w:numPr>
        <w:ind w:hanging="0" w:left="0"/>
        <w:rPr/>
      </w:pPr>
      <w:r>
        <w:rPr/>
        <w:t xml:space="preserve">O prazo para pagamento </w:t>
      </w:r>
      <w:r>
        <w:rPr>
          <w:color w:val="auto"/>
          <w:lang w:eastAsia="en-US"/>
        </w:rPr>
        <w:t>ao CONTRATADO</w:t>
      </w:r>
      <w:r>
        <w:rPr/>
        <w:t xml:space="preserve"> e demais condições a ele referentes, inclusive quanto à utilização da Conta-Depósito Vinculada - bloqueada para movimentação ou do </w:t>
      </w:r>
      <w:r>
        <w:rPr>
          <w:color w:val="auto"/>
        </w:rPr>
        <w:t>Pagamento pelo Fato Gerador</w:t>
      </w:r>
      <w:r>
        <w:rPr/>
        <w:t>, encontram-se definidos no Termo de Referência, anexo a este Contrato.</w:t>
      </w:r>
    </w:p>
    <w:p>
      <w:pPr>
        <w:pStyle w:val="Nivel01"/>
        <w:numPr>
          <w:ilvl w:val="0"/>
          <w:numId w:val="1"/>
        </w:numPr>
        <w:ind w:hanging="360" w:left="0"/>
        <w:rPr>
          <w:color w:themeColor="background1" w:val="FFFFFF"/>
        </w:rPr>
      </w:pPr>
      <w:bookmarkStart w:id="21" w:name="__RefHeading___Toc9164_61645898"/>
      <w:bookmarkStart w:id="22" w:name="_Toc212576773"/>
      <w:bookmarkEnd w:id="21"/>
      <w:r>
        <w:rPr/>
        <w:t>CLÁUSULA SÉTIMA - REPACTUAÇÃO DOS PREÇOS CONTRATADOS</w:t>
      </w:r>
      <w:bookmarkEnd w:id="22"/>
    </w:p>
    <w:p>
      <w:pPr>
        <w:pStyle w:val="Nivel2"/>
        <w:numPr>
          <w:ilvl w:val="1"/>
          <w:numId w:val="1"/>
        </w:numPr>
        <w:ind w:hanging="0" w:left="0"/>
        <w:rPr/>
      </w:pPr>
      <w:r>
        <w:rPr/>
        <w:t>As regras acerca da repactuação dos preços contratados são aquelas definidas no Termo de Referência, anexo a este Contrato.</w:t>
      </w:r>
    </w:p>
    <w:p>
      <w:pPr>
        <w:pStyle w:val="Nivel01"/>
        <w:numPr>
          <w:ilvl w:val="0"/>
          <w:numId w:val="1"/>
        </w:numPr>
        <w:ind w:hanging="360" w:left="0"/>
        <w:rPr>
          <w:color w:themeColor="background1" w:val="FFFFFF"/>
        </w:rPr>
      </w:pPr>
      <w:bookmarkStart w:id="23" w:name="__RefHeading___Toc9166_61645898"/>
      <w:bookmarkStart w:id="24" w:name="_Toc212576774"/>
      <w:bookmarkEnd w:id="23"/>
      <w:r>
        <w:rPr/>
        <w:t>CLÁUSULA OITAVA - OBRIGAÇÕES DO CONTRATANTE</w:t>
      </w:r>
      <w:bookmarkEnd w:id="24"/>
    </w:p>
    <w:p>
      <w:pPr>
        <w:pStyle w:val="Nivel2"/>
        <w:numPr>
          <w:ilvl w:val="1"/>
          <w:numId w:val="1"/>
        </w:numPr>
        <w:ind w:hanging="0" w:left="0"/>
        <w:rPr>
          <w:bCs/>
        </w:rPr>
      </w:pPr>
      <w:r>
        <w:rPr/>
        <w:t>São obrigações do CONTRATANTE:</w:t>
      </w:r>
    </w:p>
    <w:p>
      <w:pPr>
        <w:pStyle w:val="Nivel3"/>
        <w:numPr>
          <w:ilvl w:val="2"/>
          <w:numId w:val="1"/>
        </w:numPr>
        <w:ind w:hanging="0" w:left="284"/>
        <w:rPr/>
      </w:pPr>
      <w:r>
        <w:rPr/>
        <w:t>Exigir o cumprimento de todas as obrigações assumidas pelo CONTRATADO, de acordo com o contrato e seus anexos;</w:t>
      </w:r>
    </w:p>
    <w:p>
      <w:pPr>
        <w:pStyle w:val="Nivel3"/>
        <w:numPr>
          <w:ilvl w:val="2"/>
          <w:numId w:val="1"/>
        </w:numPr>
        <w:ind w:hanging="0" w:left="284"/>
        <w:rPr/>
      </w:pPr>
      <w:r>
        <w:rPr/>
        <w:t>Receber o objeto no prazo e condições estabelecidas no Termo de Referência;</w:t>
      </w:r>
    </w:p>
    <w:p>
      <w:pPr>
        <w:pStyle w:val="Nivel3"/>
        <w:numPr>
          <w:ilvl w:val="2"/>
          <w:numId w:val="1"/>
        </w:numPr>
        <w:ind w:hanging="0" w:left="284"/>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1"/>
        </w:numPr>
        <w:ind w:hanging="0" w:left="284"/>
        <w:rPr/>
      </w:pPr>
      <w:r>
        <w:rPr/>
        <w:t>Acompanhar e fiscalizar a execução do contrato e o cumprimento das obrigações pelo CONTRATADO;</w:t>
      </w:r>
    </w:p>
    <w:p>
      <w:pPr>
        <w:pStyle w:val="Nivel3"/>
        <w:numPr>
          <w:ilvl w:val="2"/>
          <w:numId w:val="1"/>
        </w:numPr>
        <w:ind w:hanging="0" w:left="284"/>
        <w:rPr/>
      </w:pPr>
      <w:r>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ivel3"/>
        <w:numPr>
          <w:ilvl w:val="2"/>
          <w:numId w:val="1"/>
        </w:numPr>
        <w:ind w:hanging="0" w:left="284"/>
        <w:rPr/>
      </w:pPr>
      <w:r>
        <w:rPr/>
        <w:t>Efetuar o pagamento ao CONTRATADO do valor correspondente à execução do objeto, no prazo, forma e condições estabelecidos no presente Contrato e no Termo de Referência;</w:t>
      </w:r>
    </w:p>
    <w:p>
      <w:pPr>
        <w:pStyle w:val="Nivel3"/>
        <w:numPr>
          <w:ilvl w:val="2"/>
          <w:numId w:val="1"/>
        </w:numPr>
        <w:ind w:hanging="0" w:left="284"/>
        <w:rPr/>
      </w:pPr>
      <w:r>
        <w:rPr/>
        <w:t>Aplicar ao CONTRATADO as sanções previstas na lei e neste Contrato;</w:t>
      </w:r>
    </w:p>
    <w:p>
      <w:pPr>
        <w:pStyle w:val="Nivel3"/>
        <w:numPr>
          <w:ilvl w:val="2"/>
          <w:numId w:val="1"/>
        </w:numPr>
        <w:ind w:hanging="0" w:left="284"/>
        <w:rPr/>
      </w:pPr>
      <w:r>
        <w:rPr/>
        <w:t>Não praticar atos de ingerência na administração do CONTRATADO, tais como:</w:t>
      </w:r>
    </w:p>
    <w:p>
      <w:pPr>
        <w:pStyle w:val="Nivel4"/>
        <w:numPr>
          <w:ilvl w:val="3"/>
          <w:numId w:val="1"/>
        </w:numPr>
        <w:ind w:hanging="0" w:left="567"/>
        <w:rPr/>
      </w:pPr>
      <w:r>
        <w:rPr/>
        <w:t>indicar pessoas expressamente nominadas para executar direta ou indiretamente o objeto contratado;</w:t>
      </w:r>
    </w:p>
    <w:p>
      <w:pPr>
        <w:pStyle w:val="Nivel4"/>
        <w:numPr>
          <w:ilvl w:val="3"/>
          <w:numId w:val="1"/>
        </w:numPr>
        <w:ind w:hanging="0" w:left="567"/>
        <w:rPr/>
      </w:pPr>
      <w:r>
        <w:rPr/>
        <w:t>fixar salário inferior ao definido em lei ou em ato normativo a ser pago pelo CONTRATADO;</w:t>
      </w:r>
    </w:p>
    <w:p>
      <w:pPr>
        <w:pStyle w:val="Nivel4"/>
        <w:numPr>
          <w:ilvl w:val="3"/>
          <w:numId w:val="1"/>
        </w:numPr>
        <w:ind w:hanging="0" w:left="567"/>
        <w:rPr/>
      </w:pPr>
      <w:r>
        <w:rPr/>
        <w:t xml:space="preserve"> </w:t>
      </w:r>
      <w:r>
        <w:rPr/>
        <w:t>estabelecer vínculo de subordinação com funcionário do CONTRATADO;</w:t>
      </w:r>
    </w:p>
    <w:p>
      <w:pPr>
        <w:pStyle w:val="Nivel4"/>
        <w:numPr>
          <w:ilvl w:val="3"/>
          <w:numId w:val="1"/>
        </w:numPr>
        <w:ind w:hanging="0" w:left="567"/>
        <w:rPr/>
      </w:pPr>
      <w:r>
        <w:rPr/>
        <w:t>definir forma de pagamento mediante exclusivo reembolso dos salários pagos;</w:t>
      </w:r>
    </w:p>
    <w:p>
      <w:pPr>
        <w:pStyle w:val="Nivel4"/>
        <w:numPr>
          <w:ilvl w:val="3"/>
          <w:numId w:val="1"/>
        </w:numPr>
        <w:ind w:hanging="0" w:left="567"/>
        <w:rPr/>
      </w:pPr>
      <w:r>
        <w:rPr/>
        <w:t>demandar a funcionário do CONTRATADO a execução de tarefas fora do escopo do objeto da contratação; e</w:t>
      </w:r>
    </w:p>
    <w:p>
      <w:pPr>
        <w:pStyle w:val="Nivel4"/>
        <w:numPr>
          <w:ilvl w:val="3"/>
          <w:numId w:val="1"/>
        </w:numPr>
        <w:ind w:hanging="0" w:left="567"/>
        <w:rPr/>
      </w:pPr>
      <w:r>
        <w:rPr/>
        <w:t>prever exigências que constituam intervenção indevida da Administração na gestão interna do CONTRATADO.</w:t>
      </w:r>
    </w:p>
    <w:p>
      <w:pPr>
        <w:pStyle w:val="Nivel3"/>
        <w:numPr>
          <w:ilvl w:val="2"/>
          <w:numId w:val="1"/>
        </w:numPr>
        <w:ind w:hanging="0" w:left="284"/>
        <w:rPr/>
      </w:pPr>
      <w:r>
        <w:rPr/>
        <w:t>Cientificar o órgão de representação judicial da Advocacia-Geral da União para adoção das medidas cabíveis quando do descumprimento de obrigações pelo CONTRATADO;</w:t>
      </w:r>
    </w:p>
    <w:p>
      <w:pPr>
        <w:pStyle w:val="Nivel3"/>
        <w:numPr>
          <w:ilvl w:val="2"/>
          <w:numId w:val="1"/>
        </w:numPr>
        <w:ind w:hanging="0" w:left="284"/>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1"/>
        </w:numPr>
        <w:ind w:hanging="0" w:left="567"/>
        <w:rPr>
          <w:rFonts w:ascii="Arial" w:hAnsi="Arial"/>
          <w:sz w:val="20"/>
          <w:szCs w:val="20"/>
        </w:rPr>
      </w:pPr>
      <w:bookmarkStart w:id="25" w:name="_Ref128062899"/>
      <w:r>
        <w:rPr>
          <w:sz w:val="20"/>
          <w:szCs w:val="20"/>
        </w:rPr>
        <w:t>A Administração terá o prazo de</w:t>
      </w:r>
      <w:r>
        <w:rPr>
          <w:i/>
          <w:iCs/>
          <w:color w:val="FF0000"/>
          <w:sz w:val="20"/>
          <w:szCs w:val="20"/>
        </w:rPr>
        <w:t xml:space="preserve"> </w:t>
      </w:r>
      <w:r>
        <w:rPr>
          <w:rFonts w:cs="Calibri"/>
          <w:color w:val="0070C0"/>
          <w:sz w:val="20"/>
          <w:szCs w:val="20"/>
          <w:lang w:eastAsia="pt-BR"/>
        </w:rPr>
        <w:t>30 (</w:t>
      </w:r>
      <w:r>
        <w:rPr>
          <w:rFonts w:cs="Calibri"/>
          <w:color w:val="0070C0"/>
          <w:sz w:val="20"/>
          <w:szCs w:val="20"/>
        </w:rPr>
        <w:t>trinta) dias</w:t>
      </w:r>
      <w:r>
        <w:rPr>
          <w:sz w:val="20"/>
          <w:szCs w:val="20"/>
        </w:rPr>
        <w:t>, a contar da data do protocolo do requerimento para decidir, admitida a prorrogação motivada, por igual período.</w:t>
      </w:r>
      <w:bookmarkEnd w:id="25"/>
    </w:p>
    <w:p>
      <w:pPr>
        <w:pStyle w:val="Nivel3"/>
        <w:numPr>
          <w:ilvl w:val="2"/>
          <w:numId w:val="1"/>
        </w:numPr>
        <w:ind w:hanging="0" w:left="284"/>
        <w:rPr>
          <w:rFonts w:ascii="Arial" w:hAnsi="Arial"/>
          <w:sz w:val="20"/>
          <w:szCs w:val="20"/>
        </w:rPr>
      </w:pPr>
      <w:r>
        <w:rPr>
          <w:sz w:val="20"/>
          <w:szCs w:val="20"/>
        </w:rPr>
        <w:t xml:space="preserve">Responder eventuais pedidos de reestabelecimento do equilíbrio econômico-financeiro feitos pelo CONTRATADO no prazo máximo de </w:t>
      </w:r>
      <w:r>
        <w:rPr>
          <w:rFonts w:cs="Calibri"/>
          <w:color w:val="0070C0"/>
          <w:sz w:val="20"/>
          <w:szCs w:val="20"/>
          <w:lang w:eastAsia="pt-BR"/>
        </w:rPr>
        <w:t>30 (tri</w:t>
      </w:r>
      <w:r>
        <w:rPr>
          <w:rFonts w:cs="Calibri"/>
          <w:color w:val="0070C0"/>
          <w:sz w:val="20"/>
          <w:szCs w:val="20"/>
        </w:rPr>
        <w:t>nta) dias</w:t>
      </w:r>
      <w:r>
        <w:rPr>
          <w:color w:val="auto"/>
          <w:sz w:val="20"/>
          <w:szCs w:val="20"/>
        </w:rPr>
        <w:t>;</w:t>
      </w:r>
    </w:p>
    <w:p>
      <w:pPr>
        <w:pStyle w:val="Nvel3-R"/>
        <w:numPr>
          <w:ilvl w:val="2"/>
          <w:numId w:val="1"/>
        </w:numPr>
        <w:ind w:hanging="0" w:left="284"/>
        <w:rPr/>
      </w:pPr>
      <w:bookmarkStart w:id="26" w:name="_Hlk114499841"/>
      <w:bookmarkEnd w:id="26"/>
      <w:r>
        <w:rPr/>
        <w:t>Notificar os emitentes das garantias quanto ao início de processo administrativo para apuração de descumprimento de cláusulas contratuais</w:t>
      </w:r>
      <w:r>
        <w:rPr>
          <w:color w:val="auto"/>
        </w:rPr>
        <w:t>;</w:t>
      </w:r>
    </w:p>
    <w:p>
      <w:pPr>
        <w:pStyle w:val="Nivel3"/>
        <w:numPr>
          <w:ilvl w:val="2"/>
          <w:numId w:val="1"/>
        </w:numPr>
        <w:ind w:hanging="0" w:left="284"/>
        <w:rPr/>
      </w:pPr>
      <w:r>
        <w:rPr/>
        <w:t>Comunicar o CONTRATADO na hipótese de posterior alteração do projeto pelo CONTRATANTE, no caso do art. 93, §2º, da Lei nº 14.133, de 2021.</w:t>
      </w:r>
    </w:p>
    <w:p>
      <w:pPr>
        <w:pStyle w:val="Nivel2"/>
        <w:numPr>
          <w:ilvl w:val="1"/>
          <w:numId w:val="1"/>
        </w:numPr>
        <w:ind w:hanging="0"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
        </w:numPr>
        <w:ind w:hanging="360" w:left="0"/>
        <w:rPr>
          <w:color w:themeColor="background1" w:val="FFFFFF"/>
        </w:rPr>
      </w:pPr>
      <w:bookmarkStart w:id="27" w:name="__RefHeading___Toc9168_61645898"/>
      <w:bookmarkStart w:id="28" w:name="_Toc212576775"/>
      <w:bookmarkEnd w:id="27"/>
      <w:r>
        <w:rPr/>
        <w:t>CLÁUSULA NONA - OBRIGAÇÕES DO CONTRATADO</w:t>
      </w:r>
      <w:bookmarkEnd w:id="28"/>
    </w:p>
    <w:p>
      <w:pPr>
        <w:pStyle w:val="Nivel2"/>
        <w:numPr>
          <w:ilvl w:val="1"/>
          <w:numId w:val="1"/>
        </w:numPr>
        <w:ind w:hanging="0" w:left="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
        </w:numPr>
        <w:ind w:hanging="0" w:left="0"/>
        <w:rPr>
          <w:color w:themeColor="text1" w:val="000000"/>
        </w:rPr>
      </w:pPr>
      <w:r>
        <w:rPr>
          <w:color w:themeColor="text1" w:val="000000"/>
        </w:rPr>
        <w:t xml:space="preserve">Atender </w:t>
      </w:r>
      <w:r>
        <w:rPr/>
        <w:t>às</w:t>
      </w:r>
      <w:r>
        <w:rPr>
          <w:color w:themeColor="text1" w:val="000000"/>
        </w:rPr>
        <w:t xml:space="preserve"> determinações regulares emitidas pelo fiscal ou gestor do contrato ou autoridade superior e </w:t>
      </w:r>
      <w:r>
        <w:rPr/>
        <w:t>prestar todo esclarecimento ou informação por eles solicitados</w:t>
      </w:r>
      <w:r>
        <w:rPr>
          <w:color w:themeColor="text1" w:val="000000"/>
        </w:rPr>
        <w:t>;</w:t>
      </w:r>
    </w:p>
    <w:p>
      <w:pPr>
        <w:pStyle w:val="Nivel2"/>
        <w:numPr>
          <w:ilvl w:val="1"/>
          <w:numId w:val="1"/>
        </w:numPr>
        <w:ind w:hanging="0" w:left="0"/>
        <w:rPr/>
      </w:pPr>
      <w:r>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pPr>
        <w:pStyle w:val="Nivel2"/>
        <w:numPr>
          <w:ilvl w:val="1"/>
          <w:numId w:val="1"/>
        </w:numPr>
        <w:ind w:hanging="0" w:left="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
        </w:numPr>
        <w:ind w:hanging="0" w:left="0"/>
        <w:rPr/>
      </w:pPr>
      <w:r>
        <w:rP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pPr>
        <w:pStyle w:val="Nivel3"/>
        <w:numPr>
          <w:ilvl w:val="2"/>
          <w:numId w:val="1"/>
        </w:numPr>
        <w:ind w:hanging="0" w:left="284"/>
        <w:rPr/>
      </w:pPr>
      <w:r>
        <w:rPr/>
        <w:t>prova de regularidade relativa à Seguridade Social;</w:t>
      </w:r>
    </w:p>
    <w:p>
      <w:pPr>
        <w:pStyle w:val="Nivel3"/>
        <w:numPr>
          <w:ilvl w:val="2"/>
          <w:numId w:val="1"/>
        </w:numPr>
        <w:ind w:hanging="0" w:left="284"/>
        <w:rPr/>
      </w:pPr>
      <w:r>
        <w:rPr/>
        <w:t>certidão conjunta relativa aos tributos federais e à Dívida Ativa da União;</w:t>
      </w:r>
    </w:p>
    <w:p>
      <w:pPr>
        <w:pStyle w:val="Nivel3"/>
        <w:numPr>
          <w:ilvl w:val="2"/>
          <w:numId w:val="1"/>
        </w:numPr>
        <w:ind w:hanging="0" w:left="284"/>
        <w:rPr/>
      </w:pPr>
      <w:r>
        <w:rPr/>
        <w:t xml:space="preserve">certidões que comprovem a regularidade perante a Fazenda Municipal ou Distrital do domicílio ou sede do CONTRATADO; </w:t>
      </w:r>
    </w:p>
    <w:p>
      <w:pPr>
        <w:pStyle w:val="Nivel3"/>
        <w:numPr>
          <w:ilvl w:val="2"/>
          <w:numId w:val="1"/>
        </w:numPr>
        <w:ind w:hanging="0" w:left="284"/>
        <w:rPr/>
      </w:pPr>
      <w:r>
        <w:rPr/>
        <w:t>Certidão de Regularidade do FGTS – CRF; e</w:t>
      </w:r>
    </w:p>
    <w:p>
      <w:pPr>
        <w:pStyle w:val="Nivel3"/>
        <w:numPr>
          <w:ilvl w:val="2"/>
          <w:numId w:val="1"/>
        </w:numPr>
        <w:ind w:hanging="0" w:left="284"/>
        <w:rPr/>
      </w:pPr>
      <w:r>
        <w:rPr/>
        <w:t>Certidão Negativa de Débitos Trabalhistas – CNDT.</w:t>
      </w:r>
    </w:p>
    <w:p>
      <w:pPr>
        <w:pStyle w:val="Nivel2"/>
        <w:numPr>
          <w:ilvl w:val="1"/>
          <w:numId w:val="1"/>
        </w:numPr>
        <w:ind w:hanging="0" w:left="0"/>
        <w:rPr/>
      </w:pPr>
      <w:r>
        <w:rP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1"/>
        </w:numPr>
        <w:ind w:hanging="0" w:left="0"/>
        <w:rPr/>
      </w:pPr>
      <w: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1"/>
        </w:numPr>
        <w:ind w:hanging="0" w:left="0"/>
        <w:rPr/>
      </w:pPr>
      <w:r>
        <w:rPr/>
        <w:t>Paralisar, por determinação do CONTRATANTE, qualquer atividade que não esteja sendo executada de acordo com a boa técnica ou que ponha em risco a segurança de pessoas ou bens de terceiros;</w:t>
      </w:r>
    </w:p>
    <w:p>
      <w:pPr>
        <w:pStyle w:val="Nivel2"/>
        <w:numPr>
          <w:ilvl w:val="1"/>
          <w:numId w:val="1"/>
        </w:numPr>
        <w:ind w:hanging="0" w:left="0"/>
        <w:rPr/>
      </w:pPr>
      <w:r>
        <w:rPr/>
        <w:t>Manter durante toda a vigência do contrato, em compatibilidade com as obrigações assumidas, todas as condições exigidas para habilitação na licitação ou para qualificação na contratação direta;</w:t>
      </w:r>
    </w:p>
    <w:p>
      <w:pPr>
        <w:pStyle w:val="Nivel2"/>
        <w:numPr>
          <w:ilvl w:val="1"/>
          <w:numId w:val="1"/>
        </w:numPr>
        <w:ind w:hanging="0" w:left="0"/>
        <w:rPr>
          <w:b/>
          <w:bCs/>
        </w:rPr>
      </w:pPr>
      <w:r>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1"/>
        </w:numPr>
        <w:ind w:hanging="0" w:left="0"/>
        <w:rPr/>
      </w:pPr>
      <w:r>
        <w:rPr/>
        <w:t>Comprovar a reserva de cargos a que se refere a cláusula acima, no prazo fixado pelo fiscal do contrato, com a indicação dos empregados que preencheram as referidas vagas;</w:t>
      </w:r>
    </w:p>
    <w:p>
      <w:pPr>
        <w:pStyle w:val="Nivel2"/>
        <w:numPr>
          <w:ilvl w:val="1"/>
          <w:numId w:val="1"/>
        </w:numPr>
        <w:ind w:hanging="0" w:left="0"/>
        <w:rPr/>
      </w:pPr>
      <w:r>
        <w:rPr/>
        <w:t>Guardar sigilo sobre todas as informações obtidas em decorrência do cumprimento do contrato;</w:t>
      </w:r>
    </w:p>
    <w:p>
      <w:pPr>
        <w:pStyle w:val="Nivel2"/>
        <w:numPr>
          <w:ilvl w:val="1"/>
          <w:numId w:val="1"/>
        </w:numPr>
        <w:ind w:hanging="0" w:left="0"/>
        <w:rPr/>
      </w:pPr>
      <w: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1"/>
        </w:numPr>
        <w:ind w:hanging="0" w:left="0"/>
        <w:rPr/>
      </w:pPr>
      <w:r>
        <w:rPr/>
        <w:t>Cumprir, além dos postulados legais vigentes de âmbito federal, estadual ou municipal, as normas de segurança do CONTRATANTE;</w:t>
      </w:r>
    </w:p>
    <w:p>
      <w:pPr>
        <w:pStyle w:val="Nivel2"/>
        <w:numPr>
          <w:ilvl w:val="1"/>
          <w:numId w:val="1"/>
        </w:numPr>
        <w:ind w:hanging="0" w:left="0"/>
        <w:rPr/>
      </w:pPr>
      <w:r>
        <w:rPr/>
        <w:t>Alocar os empregados necessários ao perfeito cumprimento das cláusulas deste contrato, com habilitação e conhecimento adequados;</w:t>
      </w:r>
    </w:p>
    <w:p>
      <w:pPr>
        <w:pStyle w:val="Nivel2"/>
        <w:numPr>
          <w:ilvl w:val="1"/>
          <w:numId w:val="1"/>
        </w:numPr>
        <w:ind w:hanging="0" w:left="0"/>
        <w:rPr/>
      </w:pPr>
      <w:r>
        <w:rPr/>
        <w:t>Prestar os serviços dentro dos parâmetros e rotinas estabelecidos;</w:t>
      </w:r>
    </w:p>
    <w:p>
      <w:pPr>
        <w:pStyle w:val="Nivel2"/>
        <w:numPr>
          <w:ilvl w:val="1"/>
          <w:numId w:val="1"/>
        </w:numPr>
        <w:ind w:hanging="0" w:left="0"/>
        <w:rPr/>
      </w:pPr>
      <w:r>
        <w:rPr/>
        <w:t>Fornecer todos os materiais, equipamentos, ferramentas e utensílios demandados, em quantidade, qualidade e tecnologia adequadas, com a observância às recomendações aceitas pela boa técnica, normas e legislação de regência;</w:t>
      </w:r>
    </w:p>
    <w:p>
      <w:pPr>
        <w:pStyle w:val="Nivel2"/>
        <w:numPr>
          <w:ilvl w:val="1"/>
          <w:numId w:val="1"/>
        </w:numPr>
        <w:ind w:hanging="0" w:left="0"/>
        <w:rPr/>
      </w:pPr>
      <w:r>
        <w:rPr/>
        <w:t>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Nivel2"/>
        <w:numPr>
          <w:ilvl w:val="1"/>
          <w:numId w:val="1"/>
        </w:numPr>
        <w:ind w:hanging="0" w:left="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1"/>
        </w:numPr>
        <w:ind w:hanging="0" w:left="0"/>
        <w:rPr/>
      </w:pPr>
      <w:r>
        <w:rPr/>
        <w:t>Cumprir as normas de proteção ao trabalho, inclusive aquelas relativas à segurança e à saúde no trabalho;</w:t>
      </w:r>
    </w:p>
    <w:p>
      <w:pPr>
        <w:pStyle w:val="Nivel2"/>
        <w:numPr>
          <w:ilvl w:val="1"/>
          <w:numId w:val="1"/>
        </w:numPr>
        <w:ind w:hanging="0" w:left="0"/>
        <w:rPr/>
      </w:pPr>
      <w:r>
        <w:rPr/>
        <w:t>Não submeter os trabalhadores a condições degradantes de trabalho, jornadas exaustivas, servidão por dívida ou trabalhos forçados;</w:t>
      </w:r>
    </w:p>
    <w:p>
      <w:pPr>
        <w:pStyle w:val="Nivel2"/>
        <w:numPr>
          <w:ilvl w:val="1"/>
          <w:numId w:val="1"/>
        </w:numPr>
        <w:ind w:hanging="0" w:left="0"/>
        <w:rPr/>
      </w:pPr>
      <w:r>
        <w:rPr/>
        <w:t>Não permitir a utilização de qualquer trabalho do menor de dezesseis anos de idade, exceto na condição de aprendiz para os maiores de quatorze anos de idade, observada a legislação pertinente;</w:t>
      </w:r>
    </w:p>
    <w:p>
      <w:pPr>
        <w:pStyle w:val="Nivel2"/>
        <w:numPr>
          <w:ilvl w:val="1"/>
          <w:numId w:val="1"/>
        </w:numPr>
        <w:ind w:hanging="0" w:left="0"/>
        <w:rPr/>
      </w:pPr>
      <w: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ivel2"/>
        <w:numPr>
          <w:ilvl w:val="1"/>
          <w:numId w:val="1"/>
        </w:numPr>
        <w:ind w:hanging="0" w:left="0"/>
        <w:rPr/>
      </w:pPr>
      <w:bookmarkStart w:id="29" w:name="_Hlk182221417"/>
      <w:r>
        <w:rPr/>
        <w:t>Receber e dar o tratamento adequado a denúncias de discriminação, violência e assédio no ambiente de trabalho;</w:t>
      </w:r>
      <w:bookmarkEnd w:id="29"/>
    </w:p>
    <w:p>
      <w:pPr>
        <w:pStyle w:val="Nivel2"/>
        <w:numPr>
          <w:ilvl w:val="1"/>
          <w:numId w:val="1"/>
        </w:numPr>
        <w:ind w:hanging="0" w:left="0"/>
        <w:rPr/>
      </w:pPr>
      <w:r>
        <w:rPr/>
        <w:t>Manter preposto aceito pela Administração no local da obra ou do serviço para representá-lo na execução do contrato;</w:t>
      </w:r>
    </w:p>
    <w:p>
      <w:pPr>
        <w:pStyle w:val="Nivel3"/>
        <w:numPr>
          <w:ilvl w:val="2"/>
          <w:numId w:val="1"/>
        </w:numPr>
        <w:ind w:hanging="0" w:left="284"/>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1"/>
        </w:numPr>
        <w:ind w:hanging="0" w:left="0"/>
        <w:rPr/>
      </w:pPr>
      <w:r>
        <w:rP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pPr>
        <w:pStyle w:val="Nivel2"/>
        <w:numPr>
          <w:ilvl w:val="1"/>
          <w:numId w:val="1"/>
        </w:numPr>
        <w:ind w:hanging="0" w:left="0"/>
        <w:rPr/>
      </w:pPr>
      <w:r>
        <w:rPr/>
        <w:t>Prestar todo esclarecimento ou informação solicitada pelo CONTRATANTE ou por seus prepostos, garantindo-lhes o acesso, a qualquer tempo, ao local dos trabalhos, bem como aos documentos relativos à execução do contrato;</w:t>
      </w:r>
    </w:p>
    <w:p>
      <w:pPr>
        <w:pStyle w:val="Nivel2"/>
        <w:numPr>
          <w:ilvl w:val="1"/>
          <w:numId w:val="1"/>
        </w:numPr>
        <w:ind w:hanging="0" w:left="0"/>
        <w:rPr/>
      </w:pPr>
      <w:r>
        <w:rPr/>
        <w:t>Promover a guarda, manutenção e vigilância de materiais, ferramentas, e tudo o que for necessário à execução do objeto, durante a vigência do contrato;</w:t>
      </w:r>
    </w:p>
    <w:p>
      <w:pPr>
        <w:pStyle w:val="Nivel2"/>
        <w:numPr>
          <w:ilvl w:val="1"/>
          <w:numId w:val="1"/>
        </w:numPr>
        <w:ind w:hanging="0" w:left="0"/>
        <w:rPr/>
      </w:pPr>
      <w:r>
        <w:rPr/>
        <w:t>Assegurar aos seus trabalhadores ambiente de trabalho e instalações em condições adequadas ao cumprimento das normas de saúde, segurança e bem-estar no trabalho;</w:t>
      </w:r>
    </w:p>
    <w:p>
      <w:pPr>
        <w:pStyle w:val="Nivel2"/>
        <w:numPr>
          <w:ilvl w:val="1"/>
          <w:numId w:val="1"/>
        </w:numPr>
        <w:ind w:hanging="0" w:left="0"/>
        <w:rPr/>
      </w:pPr>
      <w:r>
        <w:rPr/>
        <w:t>Fornecer equipamentos de proteção individual (EPI) e equipamentos de proteção coletiva (EPC),quando for o caso;</w:t>
      </w:r>
    </w:p>
    <w:p>
      <w:pPr>
        <w:pStyle w:val="Nivel2"/>
        <w:numPr>
          <w:ilvl w:val="1"/>
          <w:numId w:val="1"/>
        </w:numPr>
        <w:ind w:hanging="0" w:left="0"/>
        <w:rPr/>
      </w:pPr>
      <w:r>
        <w:rPr/>
        <w:t>Garantir o acesso do CONTRATANTE, a qualquer tempo, ao local dos trabalhos, bem como aos documentos relativos à execução do contrato;</w:t>
      </w:r>
    </w:p>
    <w:p>
      <w:pPr>
        <w:pStyle w:val="Nivel2"/>
        <w:numPr>
          <w:ilvl w:val="1"/>
          <w:numId w:val="1"/>
        </w:numPr>
        <w:ind w:hanging="0" w:left="0"/>
        <w:rPr/>
      </w:pPr>
      <w:r>
        <w:rPr/>
        <w:t>Promover a organização técnica e administrativa dos serviços, de modo a conduzi-los eficaz e eficientemente, de acordo com os documentos e especificações que integram o Termo de Referência, no prazo determinado;</w:t>
      </w:r>
    </w:p>
    <w:p>
      <w:pPr>
        <w:pStyle w:val="Nivel2"/>
        <w:numPr>
          <w:ilvl w:val="1"/>
          <w:numId w:val="1"/>
        </w:numPr>
        <w:ind w:hanging="0" w:left="0"/>
        <w:rPr/>
      </w:pPr>
      <w:r>
        <w:rPr/>
        <w:t>Instruir seus empregados quanto à necessidade de acatar as normas internas da Administração;</w:t>
      </w:r>
    </w:p>
    <w:p>
      <w:pPr>
        <w:pStyle w:val="Nivel2"/>
        <w:numPr>
          <w:ilvl w:val="1"/>
          <w:numId w:val="1"/>
        </w:numPr>
        <w:ind w:hanging="0" w:left="0"/>
        <w:rPr/>
      </w:pPr>
      <w:r>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pPr>
        <w:pStyle w:val="Nivel2"/>
        <w:numPr>
          <w:ilvl w:val="1"/>
          <w:numId w:val="1"/>
        </w:numPr>
        <w:ind w:hanging="0" w:left="0"/>
        <w:rPr/>
      </w:pPr>
      <w:r>
        <w:rPr/>
        <w:t>Vedar a utilização, na execução dos serviços, de empregado que seja familiar de agente público ocupante de cargo em comissão ou função de confiança no órgão contratante, nos termos do artigo 7° do Decreto n° 7.203, de 2010;</w:t>
      </w:r>
    </w:p>
    <w:p>
      <w:pPr>
        <w:pStyle w:val="Nivel2"/>
        <w:numPr>
          <w:ilvl w:val="1"/>
          <w:numId w:val="1"/>
        </w:numPr>
        <w:ind w:hanging="0" w:left="0"/>
        <w:rPr/>
      </w:pPr>
      <w:r>
        <w:rPr/>
        <w:t>Disponibilizar ao CONTRATANTE os empregados devidamente uniformizados e identificados por meio de crachá, além de provê-los com os Equipamentos de Proteção Individual - EPI, quando for o caso;</w:t>
      </w:r>
    </w:p>
    <w:p>
      <w:pPr>
        <w:pStyle w:val="Nivel2"/>
        <w:numPr>
          <w:ilvl w:val="1"/>
          <w:numId w:val="1"/>
        </w:numPr>
        <w:ind w:hanging="0" w:left="0"/>
        <w:rPr/>
      </w:pPr>
      <w:r>
        <w:rPr/>
        <w:t>Fornecer os uniformes a serem utilizados por seus empregados, conforme disposto no Termo de Referência, sem repassar quaisquer custos a estes;</w:t>
      </w:r>
    </w:p>
    <w:p>
      <w:pPr>
        <w:pStyle w:val="Nivel2"/>
        <w:numPr>
          <w:ilvl w:val="1"/>
          <w:numId w:val="1"/>
        </w:numPr>
        <w:ind w:hanging="0" w:left="0"/>
        <w:rPr/>
      </w:pPr>
      <w:r>
        <w:rPr/>
        <w:t>Apresentar relação mensal dos empregados que expressamente optarem por não receber o vale-transporte;</w:t>
      </w:r>
    </w:p>
    <w:p>
      <w:pPr>
        <w:pStyle w:val="Nivel2"/>
        <w:numPr>
          <w:ilvl w:val="1"/>
          <w:numId w:val="1"/>
        </w:numPr>
        <w:ind w:hanging="0" w:left="0"/>
        <w:rPr/>
      </w:pPr>
      <w:r>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do CONTRATANTE. Em caso de impossibilidade de cumprimento desta disposição, o CONTRATADO deverá apresentar justificativa, a fim de que a Administração analise sua plausibilidade e possa verificar a realização do pagamento.</w:t>
      </w:r>
    </w:p>
    <w:p>
      <w:pPr>
        <w:pStyle w:val="Nivel2"/>
        <w:numPr>
          <w:ilvl w:val="1"/>
          <w:numId w:val="1"/>
        </w:numPr>
        <w:ind w:hanging="0" w:left="0"/>
        <w:rPr/>
      </w:pPr>
      <w:r>
        <w:rPr/>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pPr>
        <w:pStyle w:val="Nivel2"/>
        <w:numPr>
          <w:ilvl w:val="1"/>
          <w:numId w:val="1"/>
        </w:numPr>
        <w:ind w:hanging="0" w:left="0"/>
        <w:rPr/>
      </w:pPr>
      <w:r>
        <w:rPr/>
        <w:t>Não permitir que o empregado designado para trabalhar em um turno preste seus serviços no turno imediatamente subsequente;</w:t>
      </w:r>
    </w:p>
    <w:p>
      <w:pPr>
        <w:pStyle w:val="Nivel2"/>
        <w:numPr>
          <w:ilvl w:val="1"/>
          <w:numId w:val="1"/>
        </w:numPr>
        <w:ind w:hanging="0" w:left="0"/>
        <w:rPr>
          <w:highlight w:val="yellow"/>
        </w:rPr>
      </w:pPr>
      <w:r>
        <w:rPr>
          <w:highlight w:val="yellow"/>
        </w:rPr>
        <w:t>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pPr>
        <w:pStyle w:val="Nivel2"/>
        <w:numPr>
          <w:ilvl w:val="1"/>
          <w:numId w:val="1"/>
        </w:numPr>
        <w:ind w:hanging="0" w:left="0"/>
        <w:rPr>
          <w:highlight w:val="yellow"/>
        </w:rPr>
      </w:pPr>
      <w:r>
        <w:rPr>
          <w:highlight w:val="yellow"/>
        </w:rPr>
        <w:t>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pPr>
        <w:pStyle w:val="Nivel2"/>
        <w:numPr>
          <w:ilvl w:val="1"/>
          <w:numId w:val="1"/>
        </w:numPr>
        <w:ind w:hanging="0" w:left="0"/>
        <w:rPr>
          <w:highlight w:val="yellow"/>
        </w:rPr>
      </w:pPr>
      <w:r>
        <w:rPr>
          <w:highlight w:val="yellow"/>
        </w:rPr>
        <w:t>Implementar ações de formação e capacitação para todas as suas empregadas e empregados sobre prevenção e combate ao assédio moral, sexual e à discriminação, garantindo ambiente de trabalho seguro e respeitoso;</w:t>
      </w:r>
    </w:p>
    <w:p>
      <w:pPr>
        <w:pStyle w:val="Nivel2"/>
        <w:numPr>
          <w:ilvl w:val="1"/>
          <w:numId w:val="1"/>
        </w:numPr>
        <w:ind w:hanging="0" w:left="0"/>
        <w:rPr>
          <w:highlight w:val="yellow"/>
        </w:rPr>
      </w:pPr>
      <w:r>
        <w:rPr>
          <w:highlight w:val="yellow"/>
        </w:rPr>
        <w:t>Estabelecer canais de denúncia e procedimentos claros para recebimento, apuração e tratamento de casos de assédio e discriminação, assegurando a proteção dos denunciantes contra retaliações;</w:t>
      </w:r>
    </w:p>
    <w:p>
      <w:pPr>
        <w:pStyle w:val="Nivel2"/>
        <w:numPr>
          <w:ilvl w:val="1"/>
          <w:numId w:val="1"/>
        </w:numPr>
        <w:ind w:hanging="0" w:left="0"/>
        <w:rPr>
          <w:highlight w:val="yellow"/>
        </w:rPr>
      </w:pPr>
      <w:r>
        <w:rPr>
          <w:highlight w:val="yellow"/>
        </w:rPr>
        <w:t>Promover a divulgação das políticas de combate ao assédio e discriminação para todos os trabalhadores alocados na execução contratual, mediante campanhas educativas e informativos específicos;</w:t>
      </w:r>
    </w:p>
    <w:p>
      <w:pPr>
        <w:pStyle w:val="Nivel2"/>
        <w:numPr>
          <w:ilvl w:val="1"/>
          <w:numId w:val="1"/>
        </w:numPr>
        <w:ind w:hanging="0" w:left="0"/>
        <w:rPr>
          <w:highlight w:val="yellow"/>
        </w:rPr>
      </w:pPr>
      <w:r>
        <w:rPr>
          <w:highlight w:val="yellow"/>
        </w:rPr>
        <w:t>Apresentar ao CONTRATANTE, quando solicitado, relatórios sobre as medidas adotadas e os resultados alcançados na implementação das políticas de enfrentamento ao assédio e discriminação;</w:t>
      </w:r>
    </w:p>
    <w:p>
      <w:pPr>
        <w:pStyle w:val="Nivel2"/>
        <w:numPr>
          <w:ilvl w:val="1"/>
          <w:numId w:val="1"/>
        </w:numPr>
        <w:ind w:hanging="0" w:left="0"/>
        <w:rPr>
          <w:highlight w:val="yellow"/>
        </w:rPr>
      </w:pPr>
      <w:r>
        <w:rPr>
          <w:highlight w:val="yellow"/>
        </w:rPr>
        <w:t>Comunicar ao CONTRATANTE, no prazo máximo de 48 (quarenta e oito) horas, qualquer ocorrência de assédio ou discriminação envolvendo trabalhadores alocados na execução contratual, informando as medidas adotadas para apuração e correção;</w:t>
      </w:r>
    </w:p>
    <w:p>
      <w:pPr>
        <w:pStyle w:val="Nivel2"/>
        <w:numPr>
          <w:ilvl w:val="1"/>
          <w:numId w:val="1"/>
        </w:numPr>
        <w:ind w:hanging="0" w:left="0"/>
        <w:rPr>
          <w:highlight w:val="yellow"/>
        </w:rPr>
      </w:pPr>
      <w:r>
        <w:rPr>
          <w:highlight w:val="yellow"/>
        </w:rPr>
        <w:t>Garantir que as políticas de combate ao assédio e discriminação sejam extensivas a eventuais subcontratados, quando permitida a subcontratação.</w:t>
      </w:r>
    </w:p>
    <w:p>
      <w:pPr>
        <w:pStyle w:val="Nivel2"/>
        <w:numPr>
          <w:ilvl w:val="1"/>
          <w:numId w:val="1"/>
        </w:numPr>
        <w:ind w:hanging="0" w:left="0"/>
        <w:rPr/>
      </w:pPr>
      <w:r>
        <w:rPr/>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pPr>
        <w:pStyle w:val="Nivel2"/>
        <w:numPr>
          <w:ilvl w:val="1"/>
          <w:numId w:val="1"/>
        </w:numPr>
        <w:ind w:hanging="0" w:left="0"/>
        <w:rPr/>
      </w:pPr>
      <w:r>
        <w:rPr/>
        <w:t>Instruir seus empregados, no início da execução contratual, quanto à obtenção das informações de seus interesses junto aos órgãos públicos, relativas ao contrato de trabalho e obrigações a ele inerentes, adotando, entre outras, as seguintes medidas:</w:t>
      </w:r>
    </w:p>
    <w:p>
      <w:pPr>
        <w:pStyle w:val="Nivel2"/>
        <w:numPr>
          <w:ilvl w:val="1"/>
          <w:numId w:val="1"/>
        </w:numPr>
        <w:ind w:hanging="0" w:left="0"/>
        <w:rPr/>
      </w:pPr>
      <w:r>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pPr>
        <w:pStyle w:val="Nivel2"/>
        <w:numPr>
          <w:ilvl w:val="1"/>
          <w:numId w:val="1"/>
        </w:numPr>
        <w:ind w:hanging="0" w:left="0"/>
        <w:rPr/>
      </w:pPr>
      <w:r>
        <w:rPr/>
        <w:t>Viabilizar a emissão do cartão cidadão pela Caixa Econômica Federal para todos os empregados, no prazo máximo de 60 (sessenta) dias, contados do início da prestação dos serviços ou da admissão do empregado;</w:t>
      </w:r>
    </w:p>
    <w:p>
      <w:pPr>
        <w:pStyle w:val="Nivel2"/>
        <w:numPr>
          <w:ilvl w:val="1"/>
          <w:numId w:val="1"/>
        </w:numPr>
        <w:ind w:hanging="0" w:left="0"/>
        <w:rPr/>
      </w:pPr>
      <w:r>
        <w:rPr/>
        <w:t>Oferecer todos os meios necessários aos seus empregados para a obtenção de extratos de recolhimentos de seus direitos sociais, preferencialmente por meio eletrônico, quando disponível.</w:t>
      </w:r>
    </w:p>
    <w:p>
      <w:pPr>
        <w:pStyle w:val="Nivel2"/>
        <w:numPr>
          <w:ilvl w:val="1"/>
          <w:numId w:val="1"/>
        </w:numPr>
        <w:ind w:hanging="0" w:left="0"/>
        <w:rPr/>
      </w:pPr>
      <w:r>
        <w:rPr/>
        <w:t xml:space="preserve">Não se beneficiar da condição de optante pelo Simples Nacional, salvo quando se tratar das exceções previstas no § 5º-C do art. 18 da Lei Complementar nº 123, de 14 de dezembro de 2006; </w:t>
      </w:r>
    </w:p>
    <w:p>
      <w:pPr>
        <w:pStyle w:val="Nivel3"/>
        <w:numPr>
          <w:ilvl w:val="2"/>
          <w:numId w:val="1"/>
        </w:numPr>
        <w:ind w:hanging="0" w:left="284"/>
        <w:rPr/>
      </w:pPr>
      <w:r>
        <w:rPr/>
        <w:t>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pPr>
        <w:pStyle w:val="Nivel3"/>
        <w:numPr>
          <w:ilvl w:val="2"/>
          <w:numId w:val="1"/>
        </w:numPr>
        <w:ind w:hanging="0" w:left="284"/>
        <w:rPr/>
      </w:pPr>
      <w:r>
        <w:rPr/>
        <w:t>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pPr>
        <w:pStyle w:val="Nvel2-Red"/>
        <w:numPr>
          <w:ilvl w:val="1"/>
          <w:numId w:val="1"/>
        </w:numPr>
        <w:ind w:hanging="0" w:left="0"/>
        <w:rPr/>
      </w:pPr>
      <w:bookmarkStart w:id="30" w:name="_Hlk145931178"/>
      <w:r>
        <w:rPr/>
        <w:t>Realizar a transição contratual com transferência de conhecimento, tecnologia e técnicas empregadas, sem perda de informações, podendo exigir, inclusive, a capacitação dos técnicos do CONTRATANTE ou da nova empresa que continuará a execução dos serviços;</w:t>
      </w:r>
      <w:bookmarkEnd w:id="30"/>
    </w:p>
    <w:p>
      <w:pPr>
        <w:pStyle w:val="Nvel2-Red"/>
        <w:numPr>
          <w:ilvl w:val="1"/>
          <w:numId w:val="1"/>
        </w:numPr>
        <w:ind w:hanging="0" w:left="0"/>
        <w:rPr>
          <w:color w:val="00B050"/>
        </w:rPr>
      </w:pPr>
      <w:r>
        <w:rPr>
          <w:highlight w:val="yellow"/>
        </w:rPr>
        <w:t xml:space="preserve">Considerando que se trata de contrato com número inferior a vinte e cinco colaboradores, a previsão do percentual para o emprego de mão de obra constituída por mulheres vítimas de violência doméstica será de </w:t>
      </w:r>
      <w:r>
        <w:rPr>
          <w:color w:val="00B0F0"/>
          <w:highlight w:val="yellow"/>
        </w:rPr>
        <w:t xml:space="preserve">12,5% </w:t>
      </w:r>
      <w:r>
        <w:rPr>
          <w:color w:val="00B050"/>
        </w:rPr>
        <w:t>(destinar ao menos 1 (uma) vaga a mulher vítima de violência doméstica, conforme o Decreto nº 11.430/2023.)</w:t>
      </w:r>
    </w:p>
    <w:p>
      <w:pPr>
        <w:pStyle w:val="Nvel3-R"/>
        <w:numPr>
          <w:ilvl w:val="2"/>
          <w:numId w:val="1"/>
        </w:numPr>
        <w:ind w:hanging="0" w:left="284"/>
        <w:rPr>
          <w:highlight w:val="yellow"/>
        </w:rPr>
      </w:pPr>
      <w:r>
        <w:rPr>
          <w:highlight w:val="yellow"/>
        </w:rPr>
        <w:t>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ﬁns de comprovação da situação de violência.</w:t>
      </w:r>
    </w:p>
    <w:p>
      <w:pPr>
        <w:pStyle w:val="Nivel3"/>
        <w:numPr>
          <w:ilvl w:val="2"/>
          <w:numId w:val="1"/>
        </w:numPr>
        <w:ind w:hanging="0" w:left="284"/>
        <w:rPr>
          <w:i/>
          <w:i/>
          <w:iCs/>
          <w:color w:val="FF0000"/>
        </w:rPr>
      </w:pPr>
      <w:r>
        <w:rPr>
          <w:i/>
          <w:iCs/>
          <w:color w:val="FF0000"/>
        </w:rPr>
        <w:t xml:space="preserve">Sempre que houver um desligamento, o CONTRATADO deverá buscar atender ao percentual mínimo de </w:t>
      </w:r>
      <w:r>
        <w:rPr>
          <w:i/>
          <w:iCs/>
          <w:color w:val="00B0F0"/>
        </w:rPr>
        <w:t xml:space="preserve">12,5% </w:t>
      </w:r>
      <w:r>
        <w:rPr>
          <w:i/>
          <w:iCs/>
          <w:color w:val="FF0000"/>
        </w:rPr>
        <w:t>com a nova contratação.</w:t>
      </w:r>
    </w:p>
    <w:p>
      <w:pPr>
        <w:pStyle w:val="Nivel3"/>
        <w:numPr>
          <w:ilvl w:val="2"/>
          <w:numId w:val="1"/>
        </w:numPr>
        <w:ind w:hanging="0" w:left="284"/>
        <w:rPr>
          <w:i/>
          <w:i/>
          <w:iCs/>
          <w:color w:val="FF0000"/>
        </w:rPr>
      </w:pPr>
      <w:bookmarkStart w:id="31" w:name="_Ref129007260"/>
      <w:r>
        <w:rPr>
          <w:i/>
          <w:iCs/>
          <w:color w:val="FF0000"/>
        </w:rPr>
        <w:t>Se não houver mulheres elegíveis em número suficiente para preencher as vagas reservadas, a empresa poderá contratar livremente.</w:t>
      </w:r>
      <w:bookmarkEnd w:id="31"/>
    </w:p>
    <w:p>
      <w:pPr>
        <w:pStyle w:val="Nivel3"/>
        <w:numPr>
          <w:ilvl w:val="2"/>
          <w:numId w:val="1"/>
        </w:numPr>
        <w:ind w:hanging="0" w:left="284"/>
        <w:rPr>
          <w:i/>
          <w:i/>
          <w:iCs/>
          <w:color w:val="FF0000"/>
        </w:rPr>
      </w:pPr>
      <w:r>
        <w:rPr>
          <w:i/>
          <w:iCs/>
          <w:color w:val="FF0000"/>
        </w:rPr>
        <w:t>Para cálculo do percentual de vagas reservadas serão considerados todos os empregados alocados no contrato, incluindo folguistas e substitutos.</w:t>
      </w:r>
    </w:p>
    <w:p>
      <w:pPr>
        <w:pStyle w:val="Nivel3"/>
        <w:numPr>
          <w:ilvl w:val="2"/>
          <w:numId w:val="1"/>
        </w:numPr>
        <w:ind w:hanging="0" w:left="284"/>
        <w:rPr>
          <w:i/>
          <w:i/>
          <w:iCs/>
          <w:color w:val="FF0000"/>
        </w:rPr>
      </w:pPr>
      <w:r>
        <w:rPr>
          <w:i/>
          <w:iCs/>
          <w:color w:val="FF0000"/>
        </w:rPr>
        <w:t xml:space="preserve">O percentual de mão-de-obra de que trata este item deverá ser mantido durante toda a execução contratual, ressalvado o subitem </w:t>
      </w:r>
      <w:r>
        <w:rPr>
          <w:i/>
          <w:iCs/>
          <w:color w:val="FF0000"/>
        </w:rPr>
        <w:fldChar w:fldCharType="begin"/>
      </w:r>
      <w:r>
        <w:rPr>
          <w:i/>
          <w:iCs/>
          <w:color w:val="FF0000"/>
        </w:rPr>
        <w:instrText xml:space="preserve"> REF _Ref129007260 \r \r \h </w:instrText>
      </w:r>
      <w:r>
        <w:rPr>
          <w:i/>
          <w:iCs/>
          <w:color w:val="FF0000"/>
        </w:rPr>
        <w:fldChar w:fldCharType="separate"/>
      </w:r>
      <w:r>
        <w:rPr>
          <w:i/>
          <w:iCs/>
          <w:color w:val="FF0000"/>
        </w:rPr>
        <w:t>9.57.3</w:t>
      </w:r>
      <w:r>
        <w:rPr>
          <w:i/>
          <w:iCs/>
          <w:color w:val="FF0000"/>
        </w:rPr>
        <w:fldChar w:fldCharType="end"/>
      </w:r>
      <w:r>
        <w:rPr>
          <w:i/>
          <w:iCs/>
          <w:color w:val="FF0000"/>
        </w:rPr>
        <w:t>.</w:t>
      </w:r>
    </w:p>
    <w:p>
      <w:pPr>
        <w:pStyle w:val="Nivel3"/>
        <w:numPr>
          <w:ilvl w:val="2"/>
          <w:numId w:val="1"/>
        </w:numPr>
        <w:ind w:hanging="0" w:left="284"/>
        <w:rPr>
          <w:i/>
          <w:i/>
          <w:iCs/>
          <w:color w:val="FF0000"/>
        </w:rPr>
      </w:pPr>
      <w:r>
        <w:rPr>
          <w:i/>
          <w:iCs/>
          <w:color w:val="FF0000"/>
        </w:rPr>
        <w:t>O CONTRATADO deve manter o sigilo da condição de violência doméstica da profissional que será alocada para a prestação do serviço.</w:t>
      </w:r>
    </w:p>
    <w:p>
      <w:pPr>
        <w:pStyle w:val="Nvel2-Red"/>
        <w:numPr>
          <w:ilvl w:val="1"/>
          <w:numId w:val="1"/>
        </w:numPr>
        <w:ind w:hanging="0" w:left="0"/>
        <w:rPr>
          <w:b w:val="false"/>
          <w:bCs w:val="false"/>
          <w:i w:val="false"/>
          <w:i w:val="false"/>
          <w:iCs w:val="false"/>
        </w:rPr>
      </w:pPr>
      <w:r>
        <w:rPr>
          <w:b w:val="false"/>
          <w:bCs w:val="false"/>
          <w:i w:val="false"/>
          <w:iCs w:val="false"/>
        </w:rPr>
        <w:t>Manter, durante toda a vigência contratual, escritório, base administrativa ou estrutura operacional instalada em Porto Alegre/RS, na Região Metropolitana ou em um raio máximo de 70 km do Colégio Militar de Porto Alegre, apta a providenciar substituições imediatas, reuniões com o preposto, atendimento emergencial e reposição tempestiva de insumos e equipamentos.</w:t>
      </w:r>
    </w:p>
    <w:p>
      <w:pPr>
        <w:pStyle w:val="Nvel2-Red"/>
        <w:numPr>
          <w:ilvl w:val="1"/>
          <w:numId w:val="1"/>
        </w:numPr>
        <w:ind w:hanging="0" w:left="0"/>
        <w:rPr/>
      </w:pPr>
      <w:r>
        <w:rPr/>
        <w:t xml:space="preserve">Manter, durante toda a vigência do contrato, capital social integralizado compatível com o número de empregados, na forma do art. 4º-B da Lei nº 6.019/1974, apresentando, quando solicitada, a respectiva documentação comprobatória, no prazo fixado pela fiscalização contratual. </w:t>
      </w:r>
    </w:p>
    <w:p>
      <w:pPr>
        <w:pStyle w:val="Nivel01"/>
        <w:numPr>
          <w:ilvl w:val="0"/>
          <w:numId w:val="1"/>
        </w:numPr>
        <w:ind w:hanging="360" w:left="0"/>
        <w:rPr/>
      </w:pPr>
      <w:bookmarkStart w:id="32" w:name="__RefHeading___Toc9170_61645898"/>
      <w:bookmarkStart w:id="33" w:name="_Toc212576776"/>
      <w:bookmarkEnd w:id="32"/>
      <w:r>
        <w:rPr/>
        <w:t>CLAÚSULA DÉCIMA - DA COMPENSAÇÃO DA JORNADA DE TRABALHO</w:t>
      </w:r>
      <w:bookmarkEnd w:id="33"/>
    </w:p>
    <w:p>
      <w:pPr>
        <w:pStyle w:val="Nivel2"/>
        <w:numPr>
          <w:ilvl w:val="1"/>
          <w:numId w:val="1"/>
        </w:numPr>
        <w:ind w:hanging="0" w:left="0"/>
        <w:rPr>
          <w:color w:themeColor="background1" w:val="FFFFFF"/>
        </w:rPr>
      </w:pPr>
      <w:r>
        <w:rPr/>
        <w:t>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p>
    <w:p>
      <w:pPr>
        <w:pStyle w:val="Nivel01"/>
        <w:numPr>
          <w:ilvl w:val="0"/>
          <w:numId w:val="1"/>
        </w:numPr>
        <w:ind w:hanging="360" w:left="0"/>
        <w:rPr>
          <w:color w:themeColor="background1" w:val="FFFFFF"/>
        </w:rPr>
      </w:pPr>
      <w:bookmarkStart w:id="34" w:name="__RefHeading___Toc9172_61645898"/>
      <w:bookmarkStart w:id="35" w:name="_Toc212576777"/>
      <w:bookmarkEnd w:id="34"/>
      <w:r>
        <w:rPr/>
        <w:t>CLÁUSULA DÉCIMA PRIMEIRA- OBRIGAÇÕES PERTINENTES À LGPD</w:t>
      </w:r>
      <w:bookmarkEnd w:id="35"/>
    </w:p>
    <w:p>
      <w:pPr>
        <w:pStyle w:val="Nvel2-Red"/>
        <w:numPr>
          <w:ilvl w:val="1"/>
          <w:numId w:val="1"/>
        </w:numPr>
        <w:ind w:hanging="0" w:left="0"/>
        <w:rPr/>
      </w:pPr>
      <w:r>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vel2-Red"/>
        <w:numPr>
          <w:ilvl w:val="1"/>
          <w:numId w:val="1"/>
        </w:numPr>
        <w:ind w:hanging="0" w:left="0"/>
        <w:rPr/>
      </w:pPr>
      <w:r>
        <w:rPr/>
        <w:t>Os dados obtidos somente poderão ser utilizados para as finalidades que justificaram seu acesso e de acordo com a boa-fé e com os princípios do art. 6º da LGPD.</w:t>
      </w:r>
    </w:p>
    <w:p>
      <w:pPr>
        <w:pStyle w:val="Nvel2-Red"/>
        <w:numPr>
          <w:ilvl w:val="1"/>
          <w:numId w:val="1"/>
        </w:numPr>
        <w:ind w:hanging="0" w:left="0"/>
        <w:rPr/>
      </w:pPr>
      <w:r>
        <w:rPr/>
        <w:t>É vedado o compartilhamento com terceiros dos dados obtidos fora das hipóteses permitidas em Lei.</w:t>
      </w:r>
    </w:p>
    <w:p>
      <w:pPr>
        <w:pStyle w:val="Nvel2-Red"/>
        <w:numPr>
          <w:ilvl w:val="1"/>
          <w:numId w:val="1"/>
        </w:numPr>
        <w:ind w:hanging="0" w:left="0"/>
        <w:rPr/>
      </w:pPr>
      <w:r>
        <w:rPr/>
        <w:t>A Administração deverá ser informada no prazo de 5 (cinco) dias úteis sobre todos os contratos de suboperação firmados ou que venham a ser celebrados pelo CONTRATADO.</w:t>
      </w:r>
    </w:p>
    <w:p>
      <w:pPr>
        <w:pStyle w:val="Nvel2-Red"/>
        <w:numPr>
          <w:ilvl w:val="1"/>
          <w:numId w:val="1"/>
        </w:numPr>
        <w:ind w:hanging="0" w:left="0"/>
        <w:rPr/>
      </w:pPr>
      <w:r>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vel2-Red"/>
        <w:numPr>
          <w:ilvl w:val="1"/>
          <w:numId w:val="1"/>
        </w:numPr>
        <w:ind w:hanging="0" w:left="0"/>
        <w:rPr/>
      </w:pPr>
      <w:r>
        <w:rPr/>
        <w:t xml:space="preserve">É dever do CONTRATADO orientar e treinar seus empregados sobre os deveres, requisitos e responsabilidades decorrentes da LGPD. </w:t>
      </w:r>
    </w:p>
    <w:p>
      <w:pPr>
        <w:pStyle w:val="Nvel2-Red"/>
        <w:numPr>
          <w:ilvl w:val="1"/>
          <w:numId w:val="1"/>
        </w:numPr>
        <w:ind w:hanging="0" w:left="0"/>
        <w:rPr/>
      </w:pPr>
      <w:r>
        <w:rPr/>
        <w:t>O CONTRATADO deverá exigir de SUBOPERADORES e SUBCONTRATADOS o cumprimento dos deveres da presente cláusula, permanecendo integralmente responsável por garantir sua observância.</w:t>
      </w:r>
    </w:p>
    <w:p>
      <w:pPr>
        <w:pStyle w:val="Nvel2-Red"/>
        <w:numPr>
          <w:ilvl w:val="1"/>
          <w:numId w:val="1"/>
        </w:numPr>
        <w:ind w:hanging="0" w:left="0"/>
        <w:rPr/>
      </w:pPr>
      <w:r>
        <w:rPr/>
        <w:t xml:space="preserve">O CONTRATANTE poderá realizar diligência para aferir o cumprimento dessa cláusula, devendo o CONTRATADO atender prontamente eventuais pedidos de comprovação formulados. </w:t>
      </w:r>
    </w:p>
    <w:p>
      <w:pPr>
        <w:pStyle w:val="Nvel2-Red"/>
        <w:numPr>
          <w:ilvl w:val="1"/>
          <w:numId w:val="1"/>
        </w:numPr>
        <w:ind w:hanging="0" w:left="0"/>
        <w:rPr/>
      </w:pPr>
      <w:r>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1"/>
        </w:numPr>
        <w:ind w:hanging="0" w:left="0"/>
        <w:rPr/>
      </w:pPr>
      <w:r>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vel3-R"/>
        <w:numPr>
          <w:ilvl w:val="2"/>
          <w:numId w:val="1"/>
        </w:numPr>
        <w:ind w:hanging="0" w:left="284"/>
        <w:rPr/>
      </w:pPr>
      <w:r>
        <w:rPr/>
        <w:t>Os referidos bancos de dados devem ser desenvolvidos em formato interoperável, a fim de garantir a reutilização desses dados pela Administração nas hipóteses previstas na LGPD.</w:t>
      </w:r>
    </w:p>
    <w:p>
      <w:pPr>
        <w:pStyle w:val="Nvel2-Red"/>
        <w:numPr>
          <w:ilvl w:val="1"/>
          <w:numId w:val="1"/>
        </w:numPr>
        <w:ind w:hanging="0" w:left="0"/>
        <w:rPr/>
      </w:pPr>
      <w:r>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1"/>
        </w:numPr>
        <w:ind w:hanging="0" w:left="0"/>
        <w:rPr/>
      </w:pPr>
      <w:r>
        <w:rPr/>
        <w:t>Os contratos e convênios de que trata o § 1º do art. 26 da LGPD deverão ser comunicados à autoridade nacional.</w:t>
      </w:r>
    </w:p>
    <w:p>
      <w:pPr>
        <w:pStyle w:val="Nivel01"/>
        <w:numPr>
          <w:ilvl w:val="0"/>
          <w:numId w:val="1"/>
        </w:numPr>
        <w:ind w:hanging="360" w:left="0"/>
        <w:rPr>
          <w:color w:themeColor="background1" w:val="FFFFFF"/>
        </w:rPr>
      </w:pPr>
      <w:bookmarkStart w:id="36" w:name="__RefHeading___Toc9174_61645898"/>
      <w:bookmarkStart w:id="37" w:name="_Toc212576778"/>
      <w:bookmarkEnd w:id="36"/>
      <w:r>
        <w:rPr/>
        <w:t>CLÁUSULA DÉCIMA SEGUNDA – GARANTIA DE EXECUÇÃO</w:t>
      </w:r>
      <w:bookmarkEnd w:id="37"/>
    </w:p>
    <w:p>
      <w:pPr>
        <w:pStyle w:val="Nvel2-Red"/>
        <w:numPr>
          <w:ilvl w:val="1"/>
          <w:numId w:val="1"/>
        </w:numPr>
        <w:ind w:hanging="0" w:left="0"/>
        <w:rPr>
          <w:color w:val="92D050"/>
        </w:rPr>
      </w:pPr>
      <w:r>
        <w:rPr/>
        <w:t xml:space="preserve">Não haverá exigência de garantia contratual da execução, </w:t>
      </w:r>
      <w:r>
        <w:rPr>
          <w:color w:val="FF4000"/>
        </w:rPr>
        <w:t xml:space="preserve">conforme fundamentação constante do item </w:t>
      </w:r>
      <w:r>
        <w:rPr>
          <w:b/>
          <w:bCs/>
          <w:color w:val="FF4000"/>
        </w:rPr>
        <w:t>4.24 do Termo de Referência</w:t>
      </w:r>
      <w:r>
        <w:rPr>
          <w:color w:val="FF4000"/>
        </w:rPr>
        <w:t xml:space="preserve">, tendo em vista tratar-se de </w:t>
      </w:r>
      <w:r>
        <w:rPr>
          <w:b/>
          <w:bCs/>
          <w:color w:val="FF4000"/>
        </w:rPr>
        <w:t>serviço contínuo com dedicação exclusiva de mão de obra</w:t>
      </w:r>
      <w:r>
        <w:rPr>
          <w:color w:val="FF4000"/>
        </w:rPr>
        <w:t xml:space="preserve">, executado sob </w:t>
      </w:r>
      <w:r>
        <w:rPr>
          <w:b/>
          <w:bCs/>
          <w:color w:val="FF4000"/>
        </w:rPr>
        <w:t>regime de conta vinculada e fiscalização permanente</w:t>
      </w:r>
      <w:r>
        <w:rPr>
          <w:color w:val="FF4000"/>
        </w:rPr>
        <w:t xml:space="preserve">, nos termos do </w:t>
      </w:r>
      <w:r>
        <w:rPr>
          <w:b/>
          <w:bCs/>
          <w:color w:val="FF4000"/>
        </w:rPr>
        <w:t>art. 96 da Lei nº 14.133/2021</w:t>
      </w:r>
      <w:r>
        <w:rPr>
          <w:color w:val="FF4000"/>
        </w:rPr>
        <w:t xml:space="preserve">, do </w:t>
      </w:r>
      <w:r>
        <w:rPr>
          <w:b/>
          <w:bCs/>
          <w:color w:val="FF4000"/>
        </w:rPr>
        <w:t>art. 121 do Decreto nº 11.246/2022</w:t>
      </w:r>
      <w:r>
        <w:rPr>
          <w:color w:val="FF4000"/>
        </w:rPr>
        <w:t xml:space="preserve">, e do </w:t>
      </w:r>
      <w:r>
        <w:rPr>
          <w:b/>
          <w:bCs/>
          <w:color w:val="FF4000"/>
        </w:rPr>
        <w:t>Anexo VIII-A da IN SEGES/MP nº 5/2017</w:t>
      </w:r>
      <w:r>
        <w:rPr>
          <w:color w:val="FF4000"/>
        </w:rPr>
        <w:t>.</w:t>
      </w:r>
    </w:p>
    <w:p>
      <w:pPr>
        <w:pStyle w:val="Nivel01"/>
        <w:numPr>
          <w:ilvl w:val="0"/>
          <w:numId w:val="1"/>
        </w:numPr>
        <w:ind w:hanging="360" w:left="0"/>
        <w:rPr>
          <w:color w:themeColor="background1" w:val="FFFFFF"/>
        </w:rPr>
      </w:pPr>
      <w:bookmarkStart w:id="38" w:name="__RefHeading___Toc9176_61645898"/>
      <w:bookmarkStart w:id="39" w:name="_Toc212576779"/>
      <w:bookmarkEnd w:id="38"/>
      <w:r>
        <w:rPr/>
        <w:t>CLÁUSULA DÉCIMA TERCEIRA – INFRAÇÕES E SANÇÕES ADMINISTRATIVAS</w:t>
      </w:r>
      <w:bookmarkEnd w:id="39"/>
    </w:p>
    <w:p>
      <w:pPr>
        <w:pStyle w:val="Nivel2"/>
        <w:numPr>
          <w:ilvl w:val="1"/>
          <w:numId w:val="1"/>
        </w:numPr>
        <w:ind w:hanging="0" w:left="0"/>
        <w:rPr/>
      </w:pPr>
      <w:r>
        <w:rPr/>
        <w:t>As regras acerca de infrações e sanções administrativas referentes à execução do contrato são aquelas definidas no Termo de Referência, anexo a este Contrato.</w:t>
      </w:r>
    </w:p>
    <w:p>
      <w:pPr>
        <w:pStyle w:val="Nivel01"/>
        <w:numPr>
          <w:ilvl w:val="0"/>
          <w:numId w:val="1"/>
        </w:numPr>
        <w:ind w:hanging="360" w:left="0"/>
        <w:rPr>
          <w:color w:themeColor="background1" w:val="FFFFFF"/>
        </w:rPr>
      </w:pPr>
      <w:bookmarkStart w:id="40" w:name="__RefHeading___Toc9178_61645898"/>
      <w:bookmarkStart w:id="41" w:name="_Toc212576780"/>
      <w:bookmarkStart w:id="42" w:name="_Ref169602136"/>
      <w:bookmarkStart w:id="43" w:name="_Ref169601460"/>
      <w:bookmarkEnd w:id="40"/>
      <w:bookmarkEnd w:id="42"/>
      <w:bookmarkEnd w:id="43"/>
      <w:r>
        <w:rPr/>
        <w:t>CLÁUSULA DÉCIMA QUARTA – DA EXTINÇÃO CONTRATUAL</w:t>
      </w:r>
      <w:bookmarkEnd w:id="41"/>
    </w:p>
    <w:p>
      <w:pPr>
        <w:pStyle w:val="Nvel2-Red"/>
        <w:numPr>
          <w:ilvl w:val="1"/>
          <w:numId w:val="1"/>
        </w:numPr>
        <w:ind w:hanging="0" w:left="0"/>
        <w:rPr/>
      </w:pPr>
      <w:r>
        <w:rPr/>
        <w:t>O contrato será extinto quando vencido o prazo nele estipulado, independentemente de terem sido cumpridas ou não as obrigações de ambas as partes contraentes.</w:t>
      </w:r>
    </w:p>
    <w:p>
      <w:pPr>
        <w:pStyle w:val="Nivel2"/>
        <w:numPr>
          <w:ilvl w:val="1"/>
          <w:numId w:val="1"/>
        </w:numPr>
        <w:ind w:hanging="0" w:left="0"/>
        <w:rPr/>
      </w:pPr>
      <w:r>
        <w:rPr/>
        <w:t>O contrato poderá ser extinto antes do prazo nele fixado, sem ônus para o CONTRATANTE, quando este não dispuser de créditos orçamentários para sua continuidade ou quando entender que o contrato não mais lhe oferece vantagem.</w:t>
      </w:r>
    </w:p>
    <w:p>
      <w:pPr>
        <w:pStyle w:val="Nivel2"/>
        <w:numPr>
          <w:ilvl w:val="1"/>
          <w:numId w:val="1"/>
        </w:numPr>
        <w:ind w:hanging="0" w:left="0"/>
        <w:rPr/>
      </w:pPr>
      <w:r>
        <w:rPr/>
        <w:t>A extinção nesta hipótese ocorrerá na próxima data de aniversário do contrato, desde que haja a notificação do CONTRATADO pelo CONTRATANTE nesse sentido com pelo menos 2 (dois) meses de antecedência desse dia.</w:t>
      </w:r>
    </w:p>
    <w:p>
      <w:pPr>
        <w:pStyle w:val="Nivel2"/>
        <w:numPr>
          <w:ilvl w:val="1"/>
          <w:numId w:val="1"/>
        </w:numPr>
        <w:ind w:hanging="0" w:left="0"/>
        <w:rPr/>
      </w:pPr>
      <w:r>
        <w:rPr/>
        <w:t>Caso a notificação da não-continuidade do contrato de que trata este subitem ocorra com menos de 2 (dois) meses da data de aniversário, a extinção contratual ocorrerá após 2 (dois) meses da data da comunicação.</w:t>
      </w:r>
    </w:p>
    <w:p>
      <w:pPr>
        <w:pStyle w:val="Nivel2"/>
        <w:numPr>
          <w:ilvl w:val="1"/>
          <w:numId w:val="1"/>
        </w:numPr>
        <w:ind w:hanging="0" w:left="0"/>
        <w:rPr/>
      </w:pPr>
      <w:r>
        <w:rPr/>
        <w:t xml:space="preserve">O contrato poderá ser extinto antes de cumpridas as obrigações nele estipuladas, ou antes do prazo nele fixado, por algum dos motivos previstos no artigo 137 da Lei nº 14.133, de 2021, bem como amigavelmente, </w:t>
      </w:r>
      <w:r>
        <w:rPr>
          <w:color w:themeColor="text1" w:val="000000"/>
        </w:rPr>
        <w:t>assegurados o contraditório e a ampla defesa</w:t>
      </w:r>
      <w:r>
        <w:rPr/>
        <w:t>.</w:t>
      </w:r>
    </w:p>
    <w:p>
      <w:pPr>
        <w:pStyle w:val="Nivel2"/>
        <w:numPr>
          <w:ilvl w:val="1"/>
          <w:numId w:val="1"/>
        </w:numPr>
        <w:ind w:hanging="0" w:left="0"/>
        <w:rPr/>
      </w:pPr>
      <w:r>
        <w:rPr/>
        <w:t>Nesta hipótese, aplicam-se também os artigos 138 e 139 da mesma Lei.</w:t>
      </w:r>
    </w:p>
    <w:p>
      <w:pPr>
        <w:pStyle w:val="Nivel2"/>
        <w:numPr>
          <w:ilvl w:val="1"/>
          <w:numId w:val="1"/>
        </w:numPr>
        <w:ind w:hanging="0" w:left="0"/>
        <w:rPr/>
      </w:pPr>
      <w:r>
        <w:rPr/>
        <w:t>A alteração social ou a modificação da finalidade ou da estrutura da empresa não ensejará a extinção se não restringir sua capacidade de concluir o contrato.</w:t>
      </w:r>
    </w:p>
    <w:p>
      <w:pPr>
        <w:pStyle w:val="Nivel2"/>
        <w:numPr>
          <w:ilvl w:val="1"/>
          <w:numId w:val="1"/>
        </w:numPr>
        <w:ind w:hanging="0" w:left="0"/>
        <w:rPr/>
      </w:pPr>
      <w:r>
        <w:rPr>
          <w:color w:themeColor="text1" w:val="000000"/>
        </w:rPr>
        <w:t xml:space="preserve">Se a </w:t>
      </w:r>
      <w:r>
        <w:rPr/>
        <w:t>operação</w:t>
      </w:r>
      <w:r>
        <w:rPr>
          <w:color w:themeColor="text1" w:val="000000"/>
        </w:rPr>
        <w:t xml:space="preserve"> </w:t>
      </w:r>
      <w:r>
        <w:rPr/>
        <w:t>implicar mudança da pessoa jurídica contratada, deverá ser formalizado termo aditivo para alteração subjetiva.</w:t>
      </w:r>
    </w:p>
    <w:p>
      <w:pPr>
        <w:pStyle w:val="Nivel2"/>
        <w:numPr>
          <w:ilvl w:val="1"/>
          <w:numId w:val="1"/>
        </w:numPr>
        <w:ind w:hanging="0" w:left="0"/>
        <w:rPr/>
      </w:pPr>
      <w:r>
        <w:rPr/>
        <w:t>O termo de extinção, sempre que possível, será precedido:</w:t>
      </w:r>
    </w:p>
    <w:p>
      <w:pPr>
        <w:pStyle w:val="Nivel3"/>
        <w:numPr>
          <w:ilvl w:val="2"/>
          <w:numId w:val="1"/>
        </w:numPr>
        <w:ind w:hanging="0" w:left="284"/>
        <w:rPr/>
      </w:pPr>
      <w:r>
        <w:rPr/>
        <w:t>Do balanço dos eventos contratuais já cumpridos ou parcialmente cumpridos;</w:t>
      </w:r>
    </w:p>
    <w:p>
      <w:pPr>
        <w:pStyle w:val="Nivel3"/>
        <w:numPr>
          <w:ilvl w:val="2"/>
          <w:numId w:val="1"/>
        </w:numPr>
        <w:ind w:hanging="0" w:left="284"/>
        <w:rPr/>
      </w:pPr>
      <w:r>
        <w:rPr/>
        <w:t>Da relação dos pagamentos já efetuados e ainda devidos;</w:t>
      </w:r>
    </w:p>
    <w:p>
      <w:pPr>
        <w:pStyle w:val="Nivel3"/>
        <w:numPr>
          <w:ilvl w:val="2"/>
          <w:numId w:val="1"/>
        </w:numPr>
        <w:ind w:hanging="0" w:left="284"/>
        <w:rPr/>
      </w:pPr>
      <w:r>
        <w:rPr/>
        <w:t>Das indenizações e multas.</w:t>
      </w:r>
    </w:p>
    <w:p>
      <w:pPr>
        <w:pStyle w:val="Nivel2"/>
        <w:numPr>
          <w:ilvl w:val="1"/>
          <w:numId w:val="1"/>
        </w:numPr>
        <w:ind w:hanging="0" w:left="0"/>
        <w:rPr/>
      </w:pPr>
      <w:r>
        <w:rPr/>
        <w:t>A extinção do contrato não configura óbice para o reconhecimento do desequilíbrio econômico-financeiro, hipótese em que será concedida indenização por meio de termo indenizatório.</w:t>
      </w:r>
    </w:p>
    <w:p>
      <w:pPr>
        <w:pStyle w:val="Nivel2"/>
        <w:numPr>
          <w:ilvl w:val="1"/>
          <w:numId w:val="1"/>
        </w:numPr>
        <w:ind w:hanging="0" w:left="0"/>
        <w:rPr/>
      </w:pPr>
      <w:r>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pPr>
        <w:pStyle w:val="Nivel2"/>
        <w:numPr>
          <w:ilvl w:val="1"/>
          <w:numId w:val="1"/>
        </w:numPr>
        <w:ind w:hanging="0" w:left="0"/>
        <w:rPr/>
      </w:pPr>
      <w:r>
        <w:rPr/>
        <w:t>O CONTRATANTE poderá conceder prazo para que o CONTRATADO regularize suas obrigações trabalhistas ou suas condições de habilitação, sob pena de extinção contratual, quando não identificar má-fé ou a incapacidade de correção.</w:t>
      </w:r>
    </w:p>
    <w:p>
      <w:pPr>
        <w:pStyle w:val="Nivel2"/>
        <w:numPr>
          <w:ilvl w:val="1"/>
          <w:numId w:val="1"/>
        </w:numPr>
        <w:ind w:hanging="0" w:left="0"/>
        <w:rPr/>
      </w:pPr>
      <w:r>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pPr>
        <w:pStyle w:val="Nivel2"/>
        <w:numPr>
          <w:ilvl w:val="1"/>
          <w:numId w:val="1"/>
        </w:numPr>
        <w:ind w:hanging="0" w:left="0"/>
        <w:rPr/>
      </w:pPr>
      <w:r>
        <w:rPr/>
        <w:t>Até que o CONTRATADO comprove o disposto no item anterior, o CONTRATANTE reterá:</w:t>
      </w:r>
    </w:p>
    <w:p>
      <w:pPr>
        <w:pStyle w:val="Nivel3"/>
        <w:numPr>
          <w:ilvl w:val="2"/>
          <w:numId w:val="1"/>
        </w:numPr>
        <w:ind w:hanging="0" w:left="284"/>
        <w:rPr/>
      </w:pPr>
      <w:r>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pPr>
        <w:pStyle w:val="Nivel3"/>
        <w:numPr>
          <w:ilvl w:val="2"/>
          <w:numId w:val="1"/>
        </w:numPr>
        <w:ind w:hanging="0" w:left="284"/>
        <w:rPr/>
      </w:pPr>
      <w:r>
        <w:rPr/>
        <w:t>os valores das Notas fiscais ou Faturas correspondentes em valor proporcional ao inadimplemento, até que a situação seja regularizada.</w:t>
      </w:r>
    </w:p>
    <w:p>
      <w:pPr>
        <w:pStyle w:val="Nivel2"/>
        <w:numPr>
          <w:ilvl w:val="1"/>
          <w:numId w:val="1"/>
        </w:numPr>
        <w:ind w:hanging="0" w:left="0"/>
        <w:rPr/>
      </w:pPr>
      <w:r>
        <w:rPr/>
        <w:t>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p>
    <w:p>
      <w:pPr>
        <w:pStyle w:val="Nivel2"/>
        <w:numPr>
          <w:ilvl w:val="1"/>
          <w:numId w:val="1"/>
        </w:numPr>
        <w:ind w:hanging="0" w:left="0"/>
        <w:rPr/>
      </w:pPr>
      <w:r>
        <w:rPr/>
        <w:t>O CONTRATANTE poderá ainda:</w:t>
      </w:r>
    </w:p>
    <w:p>
      <w:pPr>
        <w:pStyle w:val="Nivel3"/>
        <w:numPr>
          <w:ilvl w:val="2"/>
          <w:numId w:val="1"/>
        </w:numPr>
        <w:ind w:hanging="0" w:left="284"/>
        <w:rPr/>
      </w:pPr>
      <w:r>
        <w:rPr/>
        <w:t xml:space="preserve"> </w:t>
      </w:r>
      <w:r>
        <w:rPr/>
        <w:t>nos casos de obrigação de pagamento de multa pelo CONTRATADO, reter a garantia prestada a ser executada, conforme legislação que rege a matéria; e</w:t>
      </w:r>
    </w:p>
    <w:p>
      <w:pPr>
        <w:pStyle w:val="Nivel3"/>
        <w:numPr>
          <w:ilvl w:val="2"/>
          <w:numId w:val="1"/>
        </w:numPr>
        <w:ind w:hanging="0" w:left="284"/>
        <w:rPr/>
      </w:pPr>
      <w: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1"/>
        </w:numPr>
        <w:ind w:hanging="0" w:left="0"/>
        <w:rPr/>
      </w:pPr>
      <w:r>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 </w:t>
      </w:r>
    </w:p>
    <w:p>
      <w:pPr>
        <w:pStyle w:val="Nivel2"/>
        <w:numPr>
          <w:ilvl w:val="1"/>
          <w:numId w:val="1"/>
        </w:numPr>
        <w:ind w:hanging="0" w:left="0"/>
        <w:rPr/>
      </w:pPr>
      <w:r>
        <w:rPr/>
        <w:t>O contrato poderá ser extinto em caso de alteração da convenção coletiva de trabalho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p>
    <w:p>
      <w:pPr>
        <w:pStyle w:val="Nivel01"/>
        <w:numPr>
          <w:ilvl w:val="0"/>
          <w:numId w:val="1"/>
        </w:numPr>
        <w:ind w:hanging="360" w:left="0"/>
        <w:rPr>
          <w:color w:themeColor="background1" w:val="FFFFFF"/>
        </w:rPr>
      </w:pPr>
      <w:bookmarkStart w:id="44" w:name="__RefHeading___Toc9180_61645898"/>
      <w:bookmarkStart w:id="45" w:name="_Toc212576781"/>
      <w:bookmarkEnd w:id="44"/>
      <w:r>
        <w:rPr/>
        <w:t>CLÁUSULA DÉCIMA QUINTA – ALTERAÇÕES</w:t>
      </w:r>
      <w:bookmarkEnd w:id="45"/>
    </w:p>
    <w:p>
      <w:pPr>
        <w:pStyle w:val="Nivel2"/>
        <w:numPr>
          <w:ilvl w:val="1"/>
          <w:numId w:val="1"/>
        </w:numPr>
        <w:ind w:hanging="0" w:left="0"/>
        <w:rPr/>
      </w:pPr>
      <w:r>
        <w:rPr/>
        <w:t>Eventuais alterações contratuais reger-se-ão pela disciplina dos arts. 124 e seguintes da Lei nº 14.133, de 2021.</w:t>
      </w:r>
    </w:p>
    <w:p>
      <w:pPr>
        <w:pStyle w:val="Nivel2"/>
        <w:numPr>
          <w:ilvl w:val="1"/>
          <w:numId w:val="1"/>
        </w:numPr>
        <w:ind w:hanging="0" w:left="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
        </w:numPr>
        <w:ind w:hanging="0" w:left="0"/>
        <w:rPr/>
      </w:pPr>
      <w:r>
        <w:rPr/>
        <w:t>As supressões resultantes de acordo celebrado entre as partes contratantes poderão exceder o limite de 25% (vinte e cinco por cento) do valor inicial atualizado do contrato.</w:t>
      </w:r>
    </w:p>
    <w:p>
      <w:pPr>
        <w:pStyle w:val="Nivel2"/>
        <w:numPr>
          <w:ilvl w:val="1"/>
          <w:numId w:val="1"/>
        </w:numPr>
        <w:ind w:hanging="0" w:left="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1"/>
        </w:numPr>
        <w:ind w:hanging="0" w:left="0"/>
        <w:rPr/>
      </w:pPr>
      <w:r>
        <w:rPr/>
        <w:t>Registros que não caracterizam alteração do contrato podem ser realizados por simples apostila, dispensada a celebração de termo aditivo, na forma do art. 136 da Lei nº 14.133, de 2021.</w:t>
      </w:r>
    </w:p>
    <w:p>
      <w:pPr>
        <w:pStyle w:val="Nivel01"/>
        <w:numPr>
          <w:ilvl w:val="0"/>
          <w:numId w:val="1"/>
        </w:numPr>
        <w:ind w:hanging="360" w:left="0"/>
        <w:rPr>
          <w:color w:themeColor="background1" w:val="FFFFFF"/>
        </w:rPr>
      </w:pPr>
      <w:bookmarkStart w:id="46" w:name="__RefHeading___Toc9182_61645898"/>
      <w:bookmarkStart w:id="47" w:name="_Toc212576782"/>
      <w:bookmarkEnd w:id="46"/>
      <w:r>
        <w:rPr/>
        <w:t>CLÁUSULA DÉCIMA SEXTA – DOTAÇÃO ORÇAMENTÁRIA</w:t>
      </w:r>
      <w:bookmarkEnd w:id="47"/>
    </w:p>
    <w:p>
      <w:pPr>
        <w:pStyle w:val="Nivel2"/>
        <w:numPr>
          <w:ilvl w:val="1"/>
          <w:numId w:val="1"/>
        </w:numPr>
        <w:ind w:hanging="0" w:left="0"/>
        <w:rPr/>
      </w:pPr>
      <w:r>
        <w:rPr/>
        <w:t>As despesas decorrentes da presente contratação correrão à conta de recursos específicos consignados no Orçamento Geral da União deste exercício, na dotação abaixo discriminada:</w:t>
      </w:r>
    </w:p>
    <w:p>
      <w:pPr>
        <w:pStyle w:val="ListParagraph"/>
        <w:numPr>
          <w:ilvl w:val="0"/>
          <w:numId w:val="3"/>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Gestão/unidade: </w:t>
      </w:r>
      <w:r>
        <w:rPr>
          <w:rFonts w:eastAsia="Arial" w:cs="Arial" w:ascii="Arial" w:hAnsi="Arial"/>
          <w:i/>
          <w:iCs/>
          <w:color w:val="00B0F0"/>
          <w:sz w:val="20"/>
          <w:szCs w:val="20"/>
        </w:rPr>
        <w:t>0001/160393;</w:t>
      </w:r>
    </w:p>
    <w:p>
      <w:pPr>
        <w:pStyle w:val="ListParagraph"/>
        <w:numPr>
          <w:ilvl w:val="0"/>
          <w:numId w:val="3"/>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Fonte de recursos: </w:t>
      </w:r>
      <w:r>
        <w:rPr>
          <w:rFonts w:eastAsia="Arial" w:cs="Arial" w:ascii="Arial" w:hAnsi="Arial"/>
          <w:i/>
          <w:iCs/>
          <w:color w:val="00B0F0"/>
          <w:sz w:val="20"/>
          <w:szCs w:val="20"/>
        </w:rPr>
        <w:t>1000000000</w:t>
      </w:r>
      <w:r>
        <w:rPr>
          <w:rFonts w:eastAsia="Arial" w:cs="Arial" w:ascii="Arial" w:hAnsi="Arial"/>
          <w:sz w:val="20"/>
          <w:szCs w:val="20"/>
        </w:rPr>
        <w:t>;</w:t>
      </w:r>
    </w:p>
    <w:p>
      <w:pPr>
        <w:pStyle w:val="ListParagraph"/>
        <w:numPr>
          <w:ilvl w:val="0"/>
          <w:numId w:val="3"/>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Programa de trabalho: </w:t>
      </w:r>
      <w:r>
        <w:rPr>
          <w:rFonts w:eastAsia="Arial" w:cs="Arial" w:ascii="Arial" w:hAnsi="Arial"/>
          <w:i/>
          <w:iCs/>
          <w:color w:val="00B0F0"/>
          <w:sz w:val="20"/>
          <w:szCs w:val="20"/>
        </w:rPr>
        <w:t>171460</w:t>
      </w:r>
      <w:r>
        <w:rPr>
          <w:rFonts w:eastAsia="Arial" w:cs="Arial" w:ascii="Arial" w:hAnsi="Arial"/>
          <w:sz w:val="20"/>
          <w:szCs w:val="20"/>
        </w:rPr>
        <w:t>;</w:t>
      </w:r>
    </w:p>
    <w:p>
      <w:pPr>
        <w:pStyle w:val="ListParagraph"/>
        <w:numPr>
          <w:ilvl w:val="0"/>
          <w:numId w:val="3"/>
        </w:numPr>
        <w:spacing w:before="120" w:after="120"/>
        <w:ind w:hanging="0" w:left="284"/>
        <w:contextualSpacing/>
        <w:jc w:val="both"/>
        <w:rPr>
          <w:rFonts w:ascii="Arial" w:hAnsi="Arial" w:eastAsia="Arial" w:cs="Arial"/>
          <w:color w:val="00B0F0"/>
          <w:sz w:val="20"/>
          <w:szCs w:val="20"/>
        </w:rPr>
      </w:pPr>
      <w:r>
        <w:rPr>
          <w:rFonts w:eastAsia="Arial" w:cs="Arial" w:ascii="Arial" w:hAnsi="Arial"/>
          <w:sz w:val="20"/>
          <w:szCs w:val="20"/>
        </w:rPr>
        <w:t xml:space="preserve">Elemento de despesa: </w:t>
      </w:r>
      <w:r>
        <w:rPr>
          <w:rFonts w:eastAsia="Arial" w:cs="Arial" w:ascii="Arial" w:hAnsi="Arial"/>
          <w:i/>
          <w:iCs/>
          <w:color w:val="FF0000"/>
          <w:sz w:val="20"/>
          <w:szCs w:val="20"/>
        </w:rPr>
        <w:t xml:space="preserve">: </w:t>
      </w:r>
      <w:r>
        <w:rPr>
          <w:rFonts w:eastAsia="Arial" w:cs="Arial" w:ascii="Arial" w:hAnsi="Arial"/>
          <w:i/>
          <w:iCs/>
          <w:color w:val="00B0F0"/>
          <w:sz w:val="20"/>
          <w:szCs w:val="20"/>
        </w:rPr>
        <w:t>339039</w:t>
      </w:r>
      <w:r>
        <w:rPr>
          <w:rFonts w:eastAsia="Arial" w:cs="Arial" w:ascii="Arial" w:hAnsi="Arial"/>
          <w:sz w:val="20"/>
          <w:szCs w:val="20"/>
        </w:rPr>
        <w:t xml:space="preserve">; </w:t>
      </w:r>
      <w:r>
        <w:rPr>
          <w:rFonts w:eastAsia="Arial" w:cs="Arial" w:ascii="Arial" w:hAnsi="Arial"/>
          <w:color w:val="00B0F0"/>
          <w:sz w:val="20"/>
          <w:szCs w:val="20"/>
        </w:rPr>
        <w:t>e</w:t>
      </w:r>
    </w:p>
    <w:p>
      <w:pPr>
        <w:pStyle w:val="ListParagraph"/>
        <w:numPr>
          <w:ilvl w:val="0"/>
          <w:numId w:val="3"/>
        </w:numPr>
        <w:spacing w:before="120" w:after="120"/>
        <w:ind w:hanging="0" w:left="284"/>
        <w:contextualSpacing/>
        <w:jc w:val="both"/>
        <w:rPr>
          <w:rFonts w:eastAsia="MS Mincho" w:hint="eastAsia"/>
        </w:rPr>
      </w:pPr>
      <w:r>
        <w:rPr>
          <w:rFonts w:eastAsia="Arial" w:cs="Arial" w:ascii="Arial" w:hAnsi="Arial"/>
          <w:sz w:val="20"/>
          <w:szCs w:val="20"/>
        </w:rPr>
        <w:t xml:space="preserve">Plano interno: </w:t>
      </w:r>
      <w:r>
        <w:rPr>
          <w:rFonts w:eastAsia="Arial" w:cs="Arial" w:ascii="Arial" w:hAnsi="Arial"/>
          <w:i/>
          <w:iCs/>
          <w:color w:val="00B0F0"/>
          <w:sz w:val="20"/>
          <w:szCs w:val="20"/>
        </w:rPr>
        <w:t>I3DAFUNLICO</w:t>
      </w:r>
      <w:r>
        <w:rPr>
          <w:rFonts w:eastAsia="Arial" w:cs="Arial" w:ascii="Arial" w:hAnsi="Arial"/>
          <w:sz w:val="20"/>
          <w:szCs w:val="20"/>
        </w:rPr>
        <w:t xml:space="preserve"> e</w:t>
      </w:r>
    </w:p>
    <w:p>
      <w:pPr>
        <w:pStyle w:val="ListParagraph"/>
        <w:numPr>
          <w:ilvl w:val="0"/>
          <w:numId w:val="3"/>
        </w:numPr>
        <w:spacing w:before="120" w:after="120"/>
        <w:ind w:hanging="0" w:left="284"/>
        <w:contextualSpacing/>
        <w:jc w:val="both"/>
        <w:rPr>
          <w:rFonts w:eastAsia="MS Mincho" w:hint="eastAsia"/>
          <w:color w:val="00B0F0"/>
        </w:rPr>
      </w:pPr>
      <w:r>
        <w:rPr>
          <w:rFonts w:eastAsia="Arial" w:cs="Arial" w:ascii="Arial" w:hAnsi="Arial"/>
          <w:sz w:val="20"/>
          <w:szCs w:val="20"/>
        </w:rPr>
        <w:t xml:space="preserve">Nota de empenho: </w:t>
      </w:r>
      <w:r>
        <w:rPr>
          <w:rFonts w:eastAsia="Arial" w:cs="Arial" w:ascii="Arial" w:hAnsi="Arial"/>
          <w:color w:val="00B0F0"/>
          <w:sz w:val="20"/>
          <w:szCs w:val="20"/>
        </w:rPr>
        <w:t>2025NE</w:t>
      </w:r>
    </w:p>
    <w:p>
      <w:pPr>
        <w:pStyle w:val="Nvel2-Red"/>
        <w:numPr>
          <w:ilvl w:val="1"/>
          <w:numId w:val="1"/>
        </w:numPr>
        <w:ind w:hanging="0" w:left="0"/>
        <w:rPr/>
      </w:pPr>
      <w:r>
        <w:rPr/>
        <w:t>A dotação relativa aos exercícios financeiros subsequentes será indicada após aprovação da Lei Orçamentária respectiva e liberação dos créditos correspondentes, mediante apostilamento.</w:t>
      </w:r>
    </w:p>
    <w:p>
      <w:pPr>
        <w:pStyle w:val="Nivel01"/>
        <w:numPr>
          <w:ilvl w:val="0"/>
          <w:numId w:val="1"/>
        </w:numPr>
        <w:ind w:hanging="360" w:left="0"/>
        <w:rPr>
          <w:color w:themeColor="background1" w:val="FFFFFF"/>
        </w:rPr>
      </w:pPr>
      <w:bookmarkStart w:id="48" w:name="__RefHeading___Toc9184_61645898"/>
      <w:bookmarkStart w:id="49" w:name="_Toc212576783"/>
      <w:bookmarkEnd w:id="48"/>
      <w:r>
        <w:rPr/>
        <w:t>CLÁUSULA DÉCIMA SÉTIMA – DOS CASOS OMISSOS</w:t>
      </w:r>
      <w:bookmarkEnd w:id="49"/>
    </w:p>
    <w:p>
      <w:pPr>
        <w:pStyle w:val="Nivel2"/>
        <w:numPr>
          <w:ilvl w:val="1"/>
          <w:numId w:val="1"/>
        </w:numPr>
        <w:ind w:hanging="0" w:left="0"/>
        <w:rPr/>
      </w:pPr>
      <w:r>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
        <w:numPr>
          <w:ilvl w:val="0"/>
          <w:numId w:val="1"/>
        </w:numPr>
        <w:ind w:hanging="360" w:left="0"/>
        <w:rPr>
          <w:color w:themeColor="background1" w:val="FFFFFF"/>
        </w:rPr>
      </w:pPr>
      <w:bookmarkStart w:id="50" w:name="__RefHeading___Toc9186_61645898"/>
      <w:bookmarkStart w:id="51" w:name="_Toc212576784"/>
      <w:bookmarkEnd w:id="50"/>
      <w:r>
        <w:rPr/>
        <w:t>CLÁUSULA DÉCIMA OITAVA – PUBLICAÇÃO</w:t>
      </w:r>
      <w:bookmarkEnd w:id="51"/>
    </w:p>
    <w:p>
      <w:pPr>
        <w:pStyle w:val="Nivel2"/>
        <w:numPr>
          <w:ilvl w:val="1"/>
          <w:numId w:val="1"/>
        </w:numPr>
        <w:ind w:hanging="0" w:left="0"/>
        <w:rPr/>
      </w:pPr>
      <w:r>
        <w:rP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rPr/>
        <w:t xml:space="preserve"> da Lei n.º 14.133, de 2021, e ao art. 8º, §2º, da Lei n. 12.527, de 2011, c/c art. 7º, §3º, inciso V, do Decreto n. 7.724, de 2012.</w:t>
      </w:r>
    </w:p>
    <w:p>
      <w:pPr>
        <w:pStyle w:val="Nivel01"/>
        <w:numPr>
          <w:ilvl w:val="0"/>
          <w:numId w:val="1"/>
        </w:numPr>
        <w:ind w:hanging="360" w:left="0"/>
        <w:rPr>
          <w:color w:themeColor="background1" w:val="FFFFFF"/>
        </w:rPr>
      </w:pPr>
      <w:bookmarkStart w:id="52" w:name="__RefHeading___Toc9188_61645898"/>
      <w:bookmarkStart w:id="53" w:name="_Toc212576785"/>
      <w:bookmarkEnd w:id="52"/>
      <w:r>
        <w:rPr/>
        <w:t>CLÁUSULA DÉCIMA NONA– FORO</w:t>
      </w:r>
      <w:bookmarkEnd w:id="53"/>
    </w:p>
    <w:p>
      <w:pPr>
        <w:pStyle w:val="Nivel2"/>
        <w:numPr>
          <w:ilvl w:val="1"/>
          <w:numId w:val="1"/>
        </w:numPr>
        <w:ind w:hanging="0" w:left="0"/>
        <w:rPr/>
      </w:pPr>
      <w:r>
        <w:rPr>
          <w:color w:val="auto"/>
        </w:rPr>
        <w:t xml:space="preserve">Fica eleito o Foro da Justiça Federal em </w:t>
      </w:r>
      <w:r>
        <w:rPr>
          <w:i/>
          <w:iCs/>
          <w:color w:val="00B0F0"/>
          <w:lang w:eastAsia="en-US"/>
        </w:rPr>
        <w:t>Porto Alegre/RS</w:t>
      </w:r>
      <w:r>
        <w:rPr/>
        <w:t xml:space="preserve">, Seção Judiciária </w:t>
      </w:r>
      <w:r>
        <w:rPr>
          <w:color w:val="00B0F0"/>
        </w:rPr>
        <w:t xml:space="preserve">do Rio Grande do Sul, </w:t>
      </w:r>
      <w:r>
        <w:rPr/>
        <w:t>para dirimir os litígios que decorrerem da execução deste Termo de Contrato que não puderem ser compostos pela conciliação, conforme art. 92, §1º, da Lei nº 14.133, de 2021.</w:t>
      </w:r>
    </w:p>
    <w:p>
      <w:pPr>
        <w:pStyle w:val="Nivel2"/>
        <w:numPr>
          <w:ilvl w:val="0"/>
          <w:numId w:val="0"/>
        </w:numPr>
        <w:ind w:hanging="0" w:left="0"/>
        <w:rPr/>
      </w:pPr>
      <w:r>
        <w:rPr/>
      </w:r>
    </w:p>
    <w:p>
      <w:pPr>
        <w:pStyle w:val="Nivel2"/>
        <w:numPr>
          <w:ilvl w:val="0"/>
          <w:numId w:val="0"/>
        </w:numPr>
        <w:ind w:hanging="0" w:left="0"/>
        <w:rPr/>
      </w:pPr>
      <w:r>
        <w:rPr/>
      </w:r>
    </w:p>
    <w:p>
      <w:pPr>
        <w:pStyle w:val="Normal"/>
        <w:spacing w:lineRule="auto" w:line="276"/>
        <w:ind w:firstLine="540" w:right="-15"/>
        <w:jc w:val="center"/>
        <w:rPr>
          <w:rFonts w:ascii="Calibri" w:hAnsi="Calibri" w:cs="Calibri"/>
          <w:sz w:val="22"/>
          <w:szCs w:val="22"/>
        </w:rPr>
      </w:pPr>
      <w:r>
        <w:rPr>
          <w:rFonts w:cs="Calibri" w:ascii="Calibri" w:hAnsi="Calibri"/>
          <w:b/>
          <w:bCs/>
          <w:sz w:val="22"/>
          <w:szCs w:val="22"/>
        </w:rPr>
        <w:t>FABIO GLADZIK – Cel</w:t>
      </w:r>
    </w:p>
    <w:p>
      <w:pPr>
        <w:pStyle w:val="Normal"/>
        <w:spacing w:lineRule="auto" w:line="276"/>
        <w:ind w:firstLine="540" w:right="-15"/>
        <w:jc w:val="center"/>
        <w:rPr>
          <w:rFonts w:ascii="Calibri" w:hAnsi="Calibri" w:cs="Calibri"/>
          <w:sz w:val="22"/>
          <w:szCs w:val="22"/>
        </w:rPr>
      </w:pPr>
      <w:r>
        <w:rPr>
          <w:rFonts w:cs="Calibri" w:ascii="Calibri" w:hAnsi="Calibri"/>
          <w:sz w:val="22"/>
          <w:szCs w:val="22"/>
        </w:rPr>
        <w:t>Ordenador de Despesas do CMPA</w:t>
      </w:r>
    </w:p>
    <w:p>
      <w:pPr>
        <w:pStyle w:val="Normal"/>
        <w:spacing w:lineRule="auto" w:line="276"/>
        <w:ind w:firstLine="540" w:right="-15"/>
        <w:jc w:val="center"/>
        <w:rPr>
          <w:rFonts w:ascii="Calibri" w:hAnsi="Calibri" w:cs="Calibri"/>
          <w:sz w:val="22"/>
          <w:szCs w:val="22"/>
        </w:rPr>
      </w:pPr>
      <w:r>
        <w:rPr>
          <w:rFonts w:cs="Calibri" w:ascii="Calibri" w:hAnsi="Calibri"/>
          <w:sz w:val="22"/>
          <w:szCs w:val="22"/>
        </w:rPr>
      </w:r>
    </w:p>
    <w:p>
      <w:pPr>
        <w:pStyle w:val="Normal"/>
        <w:spacing w:lineRule="auto" w:line="276"/>
        <w:ind w:firstLine="540" w:right="-15"/>
        <w:jc w:val="center"/>
        <w:rPr>
          <w:rFonts w:ascii="Calibri" w:hAnsi="Calibri" w:cs="Calibri"/>
          <w:sz w:val="22"/>
          <w:szCs w:val="22"/>
        </w:rPr>
      </w:pPr>
      <w:r>
        <w:rPr>
          <w:rFonts w:cs="Calibri" w:ascii="Calibri" w:hAnsi="Calibri"/>
          <w:sz w:val="22"/>
          <w:szCs w:val="22"/>
        </w:rPr>
      </w:r>
    </w:p>
    <w:p>
      <w:pPr>
        <w:pStyle w:val="Normal"/>
        <w:spacing w:lineRule="auto" w:line="276"/>
        <w:ind w:firstLine="540" w:right="-15"/>
        <w:jc w:val="center"/>
        <w:rPr>
          <w:rFonts w:ascii="Calibri" w:hAnsi="Calibri" w:cs="Calibri"/>
          <w:sz w:val="22"/>
          <w:szCs w:val="22"/>
        </w:rPr>
      </w:pPr>
      <w:r>
        <w:rPr>
          <w:rFonts w:cs="Calibri" w:ascii="Calibri" w:hAnsi="Calibri"/>
          <w:sz w:val="22"/>
          <w:szCs w:val="22"/>
        </w:rPr>
      </w:r>
    </w:p>
    <w:p>
      <w:pPr>
        <w:pStyle w:val="Normal"/>
        <w:spacing w:lineRule="auto" w:line="276"/>
        <w:ind w:firstLine="540" w:right="-15"/>
        <w:jc w:val="center"/>
        <w:rPr>
          <w:rFonts w:ascii="Calibri" w:hAnsi="Calibri" w:cs="Calibri"/>
          <w:sz w:val="22"/>
          <w:szCs w:val="22"/>
        </w:rPr>
      </w:pPr>
      <w:r>
        <w:rPr>
          <w:rFonts w:cs="Calibri" w:ascii="Calibri" w:hAnsi="Calibri"/>
          <w:sz w:val="22"/>
          <w:szCs w:val="22"/>
        </w:rPr>
        <w:t>XXXXXXXXXXXXXXXXXXX</w:t>
      </w:r>
    </w:p>
    <w:p>
      <w:pPr>
        <w:pStyle w:val="Normal"/>
        <w:spacing w:lineRule="auto" w:line="276"/>
        <w:ind w:firstLine="540" w:right="-15"/>
        <w:jc w:val="center"/>
        <w:rPr>
          <w:rFonts w:ascii="Calibri" w:hAnsi="Calibri" w:cs="Calibri"/>
          <w:sz w:val="22"/>
          <w:szCs w:val="22"/>
        </w:rPr>
      </w:pPr>
      <w:r>
        <w:rPr>
          <w:rFonts w:cs="Calibri" w:ascii="Calibri" w:hAnsi="Calibri"/>
          <w:sz w:val="22"/>
          <w:szCs w:val="22"/>
        </w:rPr>
        <w:t>Representante legal do CONTRATADO</w:t>
      </w:r>
    </w:p>
    <w:p>
      <w:pPr>
        <w:pStyle w:val="Normal"/>
        <w:spacing w:lineRule="auto" w:line="276"/>
        <w:ind w:firstLine="540" w:right="-15"/>
        <w:jc w:val="center"/>
        <w:rPr>
          <w:rFonts w:ascii="Calibri" w:hAnsi="Calibri" w:cs="Calibri"/>
          <w:b/>
          <w:bCs/>
          <w:sz w:val="22"/>
          <w:szCs w:val="22"/>
        </w:rPr>
      </w:pPr>
      <w:r>
        <w:rPr>
          <w:rFonts w:cs="Calibri" w:ascii="Calibri" w:hAnsi="Calibri"/>
          <w:b/>
          <w:bCs/>
          <w:sz w:val="22"/>
          <w:szCs w:val="22"/>
        </w:rPr>
      </w:r>
    </w:p>
    <w:p>
      <w:pPr>
        <w:pStyle w:val="Normal"/>
        <w:spacing w:lineRule="auto" w:line="276"/>
        <w:ind w:firstLine="540" w:right="-15"/>
        <w:jc w:val="center"/>
        <w:rPr>
          <w:rFonts w:ascii="Calibri" w:hAnsi="Calibri" w:cs="Calibri"/>
          <w:b/>
          <w:bCs/>
          <w:sz w:val="22"/>
          <w:szCs w:val="22"/>
        </w:rPr>
      </w:pPr>
      <w:r>
        <w:rPr>
          <w:rFonts w:cs="Calibri" w:ascii="Calibri" w:hAnsi="Calibri"/>
          <w:b/>
          <w:bCs/>
          <w:sz w:val="22"/>
          <w:szCs w:val="22"/>
        </w:rPr>
      </w:r>
    </w:p>
    <w:p>
      <w:pPr>
        <w:pStyle w:val="Normal"/>
        <w:spacing w:lineRule="auto" w:line="276"/>
        <w:ind w:firstLine="540" w:right="-15"/>
        <w:jc w:val="center"/>
        <w:rPr>
          <w:rFonts w:ascii="Calibri" w:hAnsi="Calibri" w:cs="Calibri"/>
          <w:sz w:val="22"/>
          <w:szCs w:val="22"/>
        </w:rPr>
      </w:pPr>
      <w:r>
        <w:rPr>
          <w:rFonts w:cs="Calibri" w:ascii="Calibri" w:hAnsi="Calibri"/>
          <w:b/>
          <w:bCs/>
          <w:sz w:val="22"/>
          <w:szCs w:val="22"/>
        </w:rPr>
        <w:t>TESTEMUNHAS:</w:t>
      </w:r>
    </w:p>
    <w:p>
      <w:pPr>
        <w:pStyle w:val="Normal"/>
        <w:spacing w:lineRule="auto" w:line="276"/>
        <w:ind w:firstLine="540" w:right="-15"/>
        <w:jc w:val="both"/>
        <w:rPr>
          <w:rFonts w:ascii="Calibri" w:hAnsi="Calibri" w:cs="Calibri"/>
          <w:sz w:val="22"/>
          <w:szCs w:val="22"/>
        </w:rPr>
      </w:pPr>
      <w:r>
        <w:rPr>
          <w:rFonts w:cs="Calibri" w:ascii="Calibri" w:hAnsi="Calibri"/>
          <w:sz w:val="22"/>
          <w:szCs w:val="22"/>
        </w:rPr>
      </w:r>
    </w:p>
    <w:p>
      <w:pPr>
        <w:pStyle w:val="Normal"/>
        <w:spacing w:lineRule="auto" w:line="276"/>
        <w:ind w:firstLine="540" w:right="-15"/>
        <w:jc w:val="both"/>
        <w:rPr>
          <w:rFonts w:ascii="Calibri" w:hAnsi="Calibri" w:cs="Calibri"/>
          <w:sz w:val="22"/>
          <w:szCs w:val="22"/>
        </w:rPr>
      </w:pPr>
      <w:r>
        <w:rPr>
          <w:rFonts w:cs="Calibri" w:ascii="Calibri" w:hAnsi="Calibri"/>
          <w:sz w:val="22"/>
          <w:szCs w:val="22"/>
        </w:rPr>
      </w:r>
    </w:p>
    <w:p>
      <w:pPr>
        <w:pStyle w:val="Normal"/>
        <w:spacing w:lineRule="auto" w:line="276"/>
        <w:ind w:right="-15"/>
        <w:rPr>
          <w:rFonts w:ascii="Calibri" w:hAnsi="Calibri" w:cs="Calibri"/>
          <w:sz w:val="22"/>
          <w:szCs w:val="22"/>
        </w:rPr>
      </w:pPr>
      <w:r>
        <w:rPr>
          <w:rFonts w:cs="Calibri" w:ascii="Calibri" w:hAnsi="Calibri"/>
          <w:sz w:val="22"/>
          <w:szCs w:val="22"/>
        </w:rPr>
      </w:r>
    </w:p>
    <w:p>
      <w:pPr>
        <w:pStyle w:val="Normal"/>
        <w:spacing w:lineRule="auto" w:line="276"/>
        <w:ind w:right="-15"/>
        <w:rPr>
          <w:rFonts w:ascii="Calibri" w:hAnsi="Calibri" w:cs="Calibri"/>
          <w:b/>
          <w:bCs/>
          <w:sz w:val="22"/>
          <w:szCs w:val="22"/>
        </w:rPr>
      </w:pPr>
      <w:r>
        <w:rPr>
          <w:rFonts w:cs="Calibri" w:ascii="Calibri" w:hAnsi="Calibri"/>
          <w:b/>
          <w:bCs/>
          <w:sz w:val="22"/>
          <w:szCs w:val="22"/>
        </w:rPr>
        <w:t>XXXXXXXXXXXXXXXXXXXX                                                                                     XXXXXXXXXXXXXXXXXXXX</w:t>
      </w:r>
    </w:p>
    <w:p>
      <w:pPr>
        <w:pStyle w:val="Normal"/>
        <w:spacing w:lineRule="auto" w:line="276"/>
        <w:ind w:right="-15"/>
        <w:rPr>
          <w:rFonts w:ascii="Calibri" w:hAnsi="Calibri" w:cs="Calibri"/>
          <w:sz w:val="22"/>
          <w:szCs w:val="22"/>
        </w:rPr>
      </w:pPr>
      <w:r>
        <w:rPr>
          <w:rFonts w:cs="Calibri" w:ascii="Calibri" w:hAnsi="Calibri"/>
          <w:b/>
          <w:bCs/>
          <w:sz w:val="22"/>
          <w:szCs w:val="22"/>
        </w:rPr>
        <w:t xml:space="preserve">       </w:t>
      </w:r>
      <w:r>
        <w:rPr>
          <w:rFonts w:cs="Calibri" w:ascii="Calibri" w:hAnsi="Calibri"/>
          <w:sz w:val="22"/>
          <w:szCs w:val="22"/>
        </w:rPr>
        <w:t>Gestor de contrato                                                                                                     Fiscal de Contrato</w:t>
      </w:r>
      <w:r>
        <w:rPr>
          <w:rFonts w:cs="Calibri" w:ascii="Calibri" w:hAnsi="Calibri"/>
          <w:i/>
          <w:iCs/>
          <w:sz w:val="22"/>
          <w:szCs w:val="22"/>
        </w:rPr>
        <w:t xml:space="preserve"> </w:t>
      </w:r>
    </w:p>
    <w:p>
      <w:pPr>
        <w:pStyle w:val="Nivel2"/>
        <w:numPr>
          <w:ilvl w:val="0"/>
          <w:numId w:val="0"/>
        </w:numPr>
        <w:ind w:hanging="0" w:left="0"/>
        <w:rPr/>
      </w:pPr>
      <w:r>
        <w:rPr/>
      </w:r>
    </w:p>
    <w:p>
      <w:pPr>
        <w:pStyle w:val="Nivel2"/>
        <w:numPr>
          <w:ilvl w:val="0"/>
          <w:numId w:val="0"/>
        </w:numPr>
        <w:spacing w:before="120" w:after="120"/>
        <w:ind w:hanging="0" w:left="0"/>
        <w:rPr/>
      </w:pPr>
      <w:r>
        <w:rPr/>
      </w:r>
    </w:p>
    <w:sectPr>
      <w:headerReference w:type="even" r:id="rId5"/>
      <w:headerReference w:type="default" r:id="rId6"/>
      <w:headerReference w:type="first" r:id="rId7"/>
      <w:footerReference w:type="even" r:id="rId8"/>
      <w:footerReference w:type="default" r:id="rId9"/>
      <w:footerReference w:type="first" r:id="rId10"/>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swiss"/>
    <w:pitch w:val="variable"/>
  </w:font>
  <w:font w:name="Liberation Sans">
    <w:altName w:val="Arial"/>
    <w:charset w:val="00"/>
    <w:family w:val="swiss"/>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rFonts w:ascii="Arial" w:hAnsi="Arial"/>
            <w:color w:themeColor="text2" w:themeTint="99" w:val="548DD4"/>
            <w:spacing w:val="60"/>
            <w:sz w:val="16"/>
          </w:rPr>
        </w:pPr>
        <w:r>
          <w:rPr>
            <w:rFonts w:ascii="Arial" w:hAnsi="Arial"/>
            <w:color w:themeColor="text2" w:themeTint="99" w:val="548DD4"/>
            <w:spacing w:val="60"/>
            <w:sz w:val="22"/>
          </w:rPr>
          <w:tab/>
          <w:tab/>
        </w:r>
      </w:p>
      <w:p>
        <w:pPr>
          <w:pStyle w:val="Footer"/>
          <w:rPr>
            <w:rFonts w:ascii="Arial" w:hAnsi="Arial" w:cs="Arial"/>
            <w:color w:themeColor="text1" w:themeTint="80" w:val="7F7F7F"/>
            <w:sz w:val="18"/>
            <w:szCs w:val="18"/>
          </w:rPr>
        </w:pPr>
        <w:r>
          <w:rPr>
            <w:rFonts w:ascii="Arial" w:hAnsi="Arial"/>
            <w:color w:themeColor="text1" w:themeTint="80" w:val="7F7F7F"/>
            <w:spacing w:val="60"/>
            <w:sz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16</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16</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Modelo de Termo de Contrato – Licitação e Contratação Direta - Serviços contínuos com regime de dedicação exclusiva de mão de obra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sz w:val="14"/>
          </w:rPr>
        </w:pPr>
        <w:r>
          <w:rPr>
            <w:rFonts w:cs="Arial" w:ascii="Arial" w:hAnsi="Arial"/>
            <w:sz w:val="14"/>
            <w:szCs w:val="14"/>
          </w:rPr>
          <w:t>Identidade visual pela Secretaria de Gestão e Inovação</w:t>
        </w:r>
      </w:p>
      <w:p>
        <w:pPr>
          <w:pStyle w:val="Footer"/>
          <w:tabs>
            <w:tab w:val="clear" w:pos="4252"/>
            <w:tab w:val="clear" w:pos="8504"/>
            <w:tab w:val="center" w:pos="4819" w:leader="none"/>
            <w:tab w:val="left" w:pos="5270" w:leader="none"/>
          </w:tabs>
          <w:rPr>
            <w:rFonts w:ascii="Arial" w:hAnsi="Arial"/>
            <w:sz w:val="14"/>
          </w:rPr>
        </w:pPr>
        <w:r>
          <w:rPr>
            <w:rFonts w:cs="Arial" w:ascii="Arial" w:hAnsi="Arial"/>
            <w:sz w:val="14"/>
            <w:szCs w:val="14"/>
          </w:rPr>
          <w:t>Atualização: SET/2025</w:t>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rFonts w:ascii="Arial" w:hAnsi="Arial"/>
            <w:color w:themeColor="text2" w:themeTint="99" w:val="548DD4"/>
            <w:spacing w:val="60"/>
            <w:sz w:val="16"/>
          </w:rPr>
        </w:pPr>
        <w:r>
          <w:rPr>
            <w:rFonts w:ascii="Arial" w:hAnsi="Arial"/>
            <w:color w:themeColor="text2" w:themeTint="99" w:val="548DD4"/>
            <w:spacing w:val="60"/>
            <w:sz w:val="22"/>
          </w:rPr>
          <w:tab/>
          <w:tab/>
        </w:r>
      </w:p>
      <w:p>
        <w:pPr>
          <w:pStyle w:val="Footer"/>
          <w:rPr>
            <w:rFonts w:ascii="Arial" w:hAnsi="Arial" w:cs="Arial"/>
            <w:color w:themeColor="text1" w:themeTint="80" w:val="7F7F7F"/>
            <w:sz w:val="18"/>
            <w:szCs w:val="18"/>
          </w:rPr>
        </w:pPr>
        <w:r>
          <w:rPr>
            <w:rFonts w:ascii="Arial" w:hAnsi="Arial"/>
            <w:color w:themeColor="text1" w:themeTint="80" w:val="7F7F7F"/>
            <w:spacing w:val="60"/>
            <w:sz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16</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16</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sz w:val="14"/>
            <w:szCs w:val="14"/>
          </w:rPr>
        </w:pPr>
        <w:r>
          <w:rPr>
            <w:rFonts w:cs="Arial" w:ascii="Arial" w:hAnsi="Arial"/>
            <w:sz w:val="14"/>
            <w:szCs w:val="14"/>
          </w:rPr>
          <w:t>Modelo de Termo de Contrato – Licitação e Contratação Direta - Serviços contínuos com regime de dedicação exclusiva de mão de obra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sz w:val="14"/>
          </w:rPr>
        </w:pPr>
        <w:r>
          <w:rPr>
            <w:rFonts w:cs="Arial" w:ascii="Arial" w:hAnsi="Arial"/>
            <w:sz w:val="14"/>
            <w:szCs w:val="14"/>
          </w:rPr>
          <w:t>Identidade visual pela Secretaria de Gestão e Inovação</w:t>
        </w:r>
      </w:p>
      <w:p>
        <w:pPr>
          <w:pStyle w:val="Footer"/>
          <w:tabs>
            <w:tab w:val="clear" w:pos="4252"/>
            <w:tab w:val="clear" w:pos="8504"/>
            <w:tab w:val="center" w:pos="4819" w:leader="none"/>
            <w:tab w:val="left" w:pos="5270" w:leader="none"/>
          </w:tabs>
          <w:rPr>
            <w:rFonts w:ascii="Arial" w:hAnsi="Arial"/>
            <w:sz w:val="14"/>
          </w:rPr>
        </w:pPr>
        <w:r>
          <w:rPr>
            <w:rFonts w:cs="Arial" w:ascii="Arial" w:hAnsi="Arial"/>
            <w:sz w:val="14"/>
            <w:szCs w:val="14"/>
          </w:rPr>
          <w:t>Atualização: SET/2025</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sz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sz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themeColor="background1" w:val="FFFFFF"/>
      </w:rPr>
    </w:lvl>
    <w:lvl w:ilvl="1">
      <w:start w:val="1"/>
      <w:numFmt w:val="decimal"/>
      <w:lvlText w:val="%1.%2."/>
      <w:lvlJc w:val="left"/>
      <w:pPr>
        <w:tabs>
          <w:tab w:val="num" w:pos="0"/>
        </w:tabs>
        <w:ind w:left="1283"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mirrorMargins/>
  <w:defaultTabStop w:val="708"/>
  <w:autoHyphenation w:val="true"/>
  <w:hyphenationZone w:val="0"/>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qFormat/>
    <w:rsid w:val="00dc41dd"/>
    <w:rPr>
      <w:color w:themeColor="hyperlink"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Comment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092390"/>
    <w:rPr>
      <w:rFonts w:ascii="Arial" w:hAnsi="Arial" w:eastAsia=""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46374b"/>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Nvel1-RedChar" w:customStyle="1">
    <w:name w:val="Nível 1-Red Char"/>
    <w:basedOn w:val="Nivel01Char"/>
    <w:link w:val="Nvel1-Red"/>
    <w:qFormat/>
    <w:rsid w:val="007c4a90"/>
    <w:rPr>
      <w:rFonts w:ascii="Arial" w:hAnsi="Arial" w:eastAsia="" w:cs="Arial" w:eastAsiaTheme="majorEastAsia"/>
      <w:b/>
      <w:bCs/>
      <w:i/>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customStyle="1">
    <w:name w:val="Caracteres de nota de rodapé"/>
    <w:semiHidden/>
    <w:unhideWhenUsed/>
    <w:qFormat/>
    <w:rsid w:val="002e5082"/>
    <w:rPr>
      <w:vertAlign w:val="superscript"/>
    </w:rPr>
  </w:style>
  <w:style w:type="character" w:styleId="Caracteresdenotaderodapuser">
    <w:name w:val="Caracteres de nota de rodapé (user)"/>
    <w:qFormat/>
    <w:rPr>
      <w:vertAlign w:val="superscript"/>
    </w:rPr>
  </w:style>
  <w:style w:type="character" w:styleId="FootnoteReference">
    <w:name w:val="footnote reference"/>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d44edf"/>
    <w:rPr>
      <w:color w:val="605E5C"/>
      <w:shd w:fill="E1DFDD" w:val="clear"/>
    </w:rPr>
  </w:style>
  <w:style w:type="character" w:styleId="Nvel02Char" w:customStyle="1">
    <w:name w:val="Nível 02 Char"/>
    <w:basedOn w:val="DefaultParagraphFont"/>
    <w:link w:val="Nvel02"/>
    <w:qFormat/>
    <w:rsid w:val="009a19d0"/>
    <w:rPr>
      <w:rFonts w:ascii="Arial" w:hAnsi="Arial" w:eastAsia="Arial" w:cs="Arial"/>
      <w:iCs/>
      <w:lang w:eastAsia="pt-BR"/>
    </w:rPr>
  </w:style>
  <w:style w:type="character" w:styleId="Vnculodendice" w:customStyle="1">
    <w:name w:val="Vínculo de índice"/>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name w:val="Índice (user)"/>
    <w:basedOn w:val="Normal"/>
    <w:qFormat/>
    <w:pPr>
      <w:suppressLineNumbers/>
    </w:pPr>
    <w:rPr>
      <w:rFonts w:cs="Arial"/>
    </w:rPr>
  </w:style>
  <w:style w:type="paragraph" w:styleId="Title">
    <w:name w:val="Title"/>
    <w:basedOn w:val="Normal"/>
    <w:next w:val="BodyText"/>
    <w:link w:val="TtuloChar"/>
    <w:qFormat/>
    <w:rsid w:val="007f77ad"/>
    <w:pPr>
      <w:pBdr>
        <w:bottom w:val="single" w:sz="8" w:space="4" w:color="4F81BD" w:themeColor="accent1"/>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d44edf"/>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customStyle="1">
    <w:name w:val="Cabeçalho e rodapé"/>
    <w:basedOn w:val="Normal"/>
    <w:qFormat/>
    <w:pPr/>
    <w:rPr/>
  </w:style>
  <w:style w:type="paragraph" w:styleId="Cabealhoerodapuser">
    <w:name w:val="Cabeçalho e rodapé (user)"/>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Comment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CommentText"/>
    <w:next w:val="CommentText"/>
    <w:link w:val="AssuntodocomentrioChar"/>
    <w:uiPriority w:val="99"/>
    <w:semiHidden/>
    <w:unhideWhenUsed/>
    <w:qFormat/>
    <w:rsid w:val="00430fdb"/>
    <w:pPr/>
    <w:rPr>
      <w:b/>
      <w:bCs/>
    </w:rPr>
  </w:style>
  <w:style w:type="paragraph" w:styleId="Nivel01" w:customStyle="1">
    <w:name w:val="Nivel 01"/>
    <w:basedOn w:val="Heading1"/>
    <w:next w:val="Normal"/>
    <w:link w:val="Nivel01Char"/>
    <w:autoRedefine/>
    <w:qFormat/>
    <w:rsid w:val="00092390"/>
    <w:pPr>
      <w:numPr>
        <w:ilvl w:val="0"/>
        <w:numId w:val="1"/>
      </w:numPr>
      <w:tabs>
        <w:tab w:val="clear" w:pos="708"/>
        <w:tab w:val="left" w:pos="0" w:leader="none"/>
        <w:tab w:val="left" w:pos="567" w:leader="none"/>
      </w:tabs>
      <w:spacing w:before="240" w:after="0"/>
      <w:ind w:left="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themeColor="text1" w:val="000000"/>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qFormat/>
    <w:rsid w:val="0046374b"/>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216690"/>
    <w:pPr>
      <w:ind w:left="567"/>
    </w:pPr>
    <w:rPr>
      <w:color w:val="auto"/>
    </w:rPr>
  </w:style>
  <w:style w:type="paragraph" w:styleId="Nivel5" w:customStyle="1">
    <w:name w:val="Nivel 5"/>
    <w:basedOn w:val="Nivel4"/>
    <w:qFormat/>
    <w:rsid w:val="00d44edf"/>
    <w:pPr>
      <w:ind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d44edf"/>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44edf"/>
    <w:pPr>
      <w:spacing w:lineRule="auto" w:line="259" w:before="60" w:after="60"/>
      <w:ind w:left="0"/>
      <w:contextualSpacing w:val="false"/>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d44edf"/>
    <w:pPr/>
    <w:rPr>
      <w:i/>
      <w:iCs/>
      <w:color w:val="FF0000"/>
    </w:rPr>
  </w:style>
  <w:style w:type="paragraph" w:styleId="Nvel1-Red" w:customStyle="1">
    <w:name w:val="Nível 1-Red"/>
    <w:basedOn w:val="Nivel01"/>
    <w:link w:val="Nvel1-RedChar"/>
    <w:qFormat/>
    <w:rsid w:val="007c4a90"/>
    <w:pPr>
      <w:tabs>
        <w:tab w:val="clear" w:pos="567"/>
        <w:tab w:val="left" w:pos="0" w:leader="none"/>
      </w:tabs>
      <w:ind w:left="-426"/>
    </w:pPr>
    <w:rPr>
      <w:i/>
      <w:color w:val="FF0000"/>
    </w:rPr>
  </w:style>
  <w:style w:type="paragraph" w:styleId="citao2" w:customStyle="1">
    <w:name w:val="citação 2"/>
    <w:basedOn w:val="Quote"/>
    <w:qFormat/>
    <w:rsid w:val="00dc41dd"/>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FootnoteText">
    <w:name w:val="footnote text"/>
    <w:basedOn w:val="Normal"/>
    <w:link w:val="TextodenotaderodapChar"/>
    <w:semiHidden/>
    <w:unhideWhenUsed/>
    <w:rsid w:val="002e5082"/>
    <w:pPr/>
    <w:rPr>
      <w:sz w:val="20"/>
      <w:szCs w:val="20"/>
    </w:rPr>
  </w:style>
  <w:style w:type="paragraph" w:styleId="Nivel2-Opcional" w:customStyle="1">
    <w:name w:val="Nivel 2-Opcional"/>
    <w:basedOn w:val="Normal"/>
    <w:autoRedefine/>
    <w:qFormat/>
    <w:rsid w:val="009a19d0"/>
    <w:pPr>
      <w:shd w:val="clear" w:color="auto" w:fill="76923C" w:themeFill="accent3" w:themeFillShade="bf"/>
      <w:spacing w:lineRule="auto" w:line="276" w:before="120" w:after="120"/>
      <w:jc w:val="both"/>
    </w:pPr>
    <w:rPr>
      <w:rFonts w:ascii="Arial" w:hAnsi="Arial" w:eastAsia="Arial" w:cs="Arial"/>
      <w:i/>
      <w:color w:val="FF0000"/>
      <w:sz w:val="20"/>
      <w:szCs w:val="20"/>
    </w:rPr>
  </w:style>
  <w:style w:type="paragraph" w:styleId="Nvel02" w:customStyle="1">
    <w:name w:val="Nível 02"/>
    <w:basedOn w:val="Nivel2-Opcional"/>
    <w:link w:val="Nvel02Char"/>
    <w:autoRedefine/>
    <w:qFormat/>
    <w:rsid w:val="009a19d0"/>
    <w:pPr>
      <w:shd w:val="clear" w:color="auto" w:fill="auto"/>
    </w:pPr>
    <w:rPr>
      <w:i w:val="false"/>
      <w:iCs/>
      <w:color w:val="auto"/>
    </w:rPr>
  </w:style>
  <w:style w:type="paragraph" w:styleId="IndexHeading">
    <w:name w:val="index heading"/>
    <w:basedOn w:val="Title"/>
    <w:pPr/>
    <w:rPr/>
  </w:style>
  <w:style w:type="paragraph" w:styleId="TOCHeading">
    <w:name w:val="TOC Heading"/>
    <w:basedOn w:val="Heading1"/>
    <w:next w:val="Normal"/>
    <w:uiPriority w:val="39"/>
    <w:unhideWhenUsed/>
    <w:qFormat/>
    <w:rsid w:val="005d3619"/>
    <w:pPr>
      <w:spacing w:lineRule="auto" w:line="259" w:before="240" w:after="0"/>
      <w:outlineLvl w:val="9"/>
    </w:pPr>
    <w:rPr>
      <w:b w:val="false"/>
      <w:bCs w:val="false"/>
      <w:sz w:val="32"/>
      <w:szCs w:val="32"/>
    </w:rPr>
  </w:style>
  <w:style w:type="paragraph" w:styleId="TOC1">
    <w:name w:val="toc 1"/>
    <w:basedOn w:val="Normal"/>
    <w:next w:val="Normal"/>
    <w:autoRedefine/>
    <w:uiPriority w:val="39"/>
    <w:unhideWhenUsed/>
    <w:rsid w:val="005d3619"/>
    <w:pPr>
      <w:tabs>
        <w:tab w:val="clear" w:pos="708"/>
        <w:tab w:val="left" w:pos="567" w:leader="none"/>
        <w:tab w:val="right" w:pos="9061" w:leader="dot"/>
      </w:tabs>
      <w:spacing w:lineRule="auto" w:line="276" w:before="0" w:after="100"/>
    </w:pPr>
    <w:rPr>
      <w:rFonts w:ascii="Cambria" w:hAnsi="Cambria" w:eastAsia="Cambria" w:cs="" w:asciiTheme="minorHAnsi" w:cstheme="minorBidi" w:eastAsiaTheme="minorHAnsi" w:hAnsiTheme="minorHAnsi"/>
      <w:b/>
      <w:bCs/>
      <w:sz w:val="22"/>
      <w:szCs w:val="22"/>
      <w:lang w:eastAsia="en-US"/>
    </w:rPr>
  </w:style>
  <w:style w:type="numbering" w:styleId="Semlistauser" w:default="1">
    <w:name w:val="Sem lista (user)"/>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1.wmf"/><Relationship Id="rId4" Type="http://schemas.openxmlformats.org/officeDocument/2006/relationships/image" Target="media/image1.wmf"/><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74</TotalTime>
  <Application>LibreOffice/25.8.2.2$Windows_X86_64 LibreOffice_project/d401f2107ccab8f924a8e2df40f573aab7605b6f</Application>
  <AppVersion>15.0000</AppVersion>
  <Pages>16</Pages>
  <Words>6245</Words>
  <Characters>35635</Characters>
  <CharactersWithSpaces>41631</CharactersWithSpaces>
  <Paragraphs>317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2025-10-27T09:19:00Z</dcterms:created>
  <dc:creator/>
  <dc:description/>
  <dc:language>pt-BR</dc:language>
  <cp:lastModifiedBy/>
  <dcterms:modified xsi:type="dcterms:W3CDTF">2025-11-26T10:17:39Z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